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b/>
          <w:color w:val="auto"/>
          <w:sz w:val="56"/>
          <w:szCs w:val="56"/>
          <w:lang w:eastAsia="zh-CN"/>
        </w:rPr>
      </w:pPr>
      <w:r>
        <w:rPr>
          <w:rFonts w:hint="eastAsia" w:ascii="仿宋" w:hAnsi="仿宋" w:eastAsia="仿宋"/>
          <w:b/>
          <w:color w:val="auto"/>
          <w:sz w:val="56"/>
          <w:szCs w:val="56"/>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cs="仿宋"/>
          <w:b/>
          <w:color w:val="auto"/>
          <w:sz w:val="72"/>
          <w:szCs w:val="72"/>
        </w:rPr>
      </w:pPr>
      <w:r>
        <w:rPr>
          <w:rFonts w:hint="eastAsia" w:ascii="仿宋" w:hAnsi="仿宋" w:eastAsia="仿宋"/>
          <w:b/>
          <w:color w:val="auto"/>
          <w:sz w:val="36"/>
          <w:szCs w:val="36"/>
        </w:rPr>
        <w:t>关于</w:t>
      </w:r>
      <w:r>
        <w:rPr>
          <w:rFonts w:hint="eastAsia" w:ascii="仿宋" w:hAnsi="仿宋" w:eastAsia="仿宋"/>
          <w:b/>
          <w:color w:val="auto"/>
          <w:sz w:val="36"/>
          <w:szCs w:val="36"/>
          <w:lang w:eastAsia="zh-CN"/>
        </w:rPr>
        <w:t>北区及走马岗规划设计服务</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函</w:t>
      </w: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eastAsia"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ZZCG20201124</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lang w:eastAsia="zh-CN"/>
        </w:rPr>
      </w:pPr>
      <w:bookmarkStart w:id="0" w:name="_Toc169332792"/>
      <w:bookmarkStart w:id="1" w:name="_Toc160880485"/>
      <w:bookmarkStart w:id="2" w:name="_Toc160880118"/>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73178686"/>
      <w:bookmarkStart w:id="4" w:name="_Toc267060022"/>
      <w:bookmarkStart w:id="5" w:name="_Toc267060407"/>
      <w:bookmarkStart w:id="6" w:name="_Toc267060162"/>
      <w:bookmarkStart w:id="7" w:name="_Toc267059899"/>
      <w:bookmarkStart w:id="8" w:name="_Toc267059786"/>
      <w:bookmarkStart w:id="9" w:name="_Toc267059633"/>
      <w:bookmarkStart w:id="10" w:name="_Toc216241307"/>
      <w:bookmarkStart w:id="11" w:name="_Toc219800200"/>
      <w:bookmarkStart w:id="12" w:name="_Toc223146565"/>
      <w:bookmarkStart w:id="13" w:name="_Toc259692693"/>
      <w:bookmarkStart w:id="14" w:name="_Toc225669277"/>
      <w:bookmarkStart w:id="15" w:name="_Toc217891359"/>
      <w:bookmarkStart w:id="16" w:name="_Toc212530253"/>
      <w:bookmarkStart w:id="17" w:name="_Toc251586187"/>
      <w:bookmarkStart w:id="18" w:name="_Toc251613780"/>
      <w:bookmarkStart w:id="19" w:name="_Toc259520819"/>
      <w:bookmarkStart w:id="20" w:name="_Toc235437942"/>
      <w:bookmarkStart w:id="21" w:name="_Toc258401210"/>
      <w:bookmarkStart w:id="22" w:name="_Toc212454753"/>
      <w:bookmarkStart w:id="23" w:name="_Toc259692600"/>
      <w:bookmarkStart w:id="24" w:name="_Toc254790852"/>
      <w:bookmarkStart w:id="25" w:name="_Toc266868624"/>
      <w:bookmarkStart w:id="26" w:name="_Toc169332904"/>
      <w:bookmarkStart w:id="27" w:name="_Toc160880487"/>
      <w:bookmarkStart w:id="28" w:name="_Toc249325665"/>
      <w:bookmarkStart w:id="29" w:name="_Toc177985424"/>
      <w:bookmarkStart w:id="30" w:name="_Toc235438227"/>
      <w:bookmarkStart w:id="31" w:name="_Toc207014580"/>
      <w:bookmarkStart w:id="32" w:name="_Toc169332794"/>
      <w:bookmarkStart w:id="33" w:name="_Toc227058483"/>
      <w:bookmarkStart w:id="34" w:name="_Toc255974963"/>
      <w:bookmarkStart w:id="35" w:name="_Toc212456146"/>
      <w:bookmarkStart w:id="36" w:name="_Toc266868924"/>
      <w:bookmarkStart w:id="37" w:name="_Toc170798743"/>
      <w:bookmarkStart w:id="38" w:name="_Toc235438297"/>
      <w:bookmarkStart w:id="39" w:name="_Toc253066567"/>
      <w:bookmarkStart w:id="40" w:name="_Toc211937196"/>
      <w:bookmarkStart w:id="41" w:name="_Toc212526081"/>
      <w:bookmarkStart w:id="42" w:name="_Toc236021402"/>
      <w:bookmarkStart w:id="43" w:name="_Toc266870386"/>
      <w:bookmarkStart w:id="44" w:name="_Toc267059010"/>
      <w:bookmarkStart w:id="45" w:name="_Toc267059161"/>
      <w:bookmarkStart w:id="46" w:name="_Toc266870861"/>
      <w:bookmarkStart w:id="47" w:name="_Toc267059519"/>
      <w:r>
        <w:rPr>
          <w:rFonts w:hint="eastAsia" w:ascii="仿宋" w:hAnsi="仿宋" w:eastAsia="仿宋" w:cs="仿宋"/>
          <w:b/>
          <w:color w:val="auto"/>
          <w:sz w:val="36"/>
          <w:szCs w:val="36"/>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240" w:lineRule="atLeast"/>
        <w:ind w:firstLine="2530" w:firstLineChars="700"/>
        <w:jc w:val="both"/>
        <w:textAlignment w:val="auto"/>
        <w:rPr>
          <w:rFonts w:hint="eastAsia" w:ascii="仿宋" w:hAnsi="仿宋" w:eastAsia="仿宋" w:cs="仿宋"/>
          <w:b/>
          <w:color w:val="auto"/>
          <w:sz w:val="72"/>
          <w:szCs w:val="72"/>
        </w:rPr>
      </w:pPr>
      <w:r>
        <w:rPr>
          <w:rFonts w:hint="eastAsia" w:ascii="仿宋" w:hAnsi="仿宋" w:eastAsia="仿宋"/>
          <w:b/>
          <w:color w:val="auto"/>
          <w:sz w:val="36"/>
          <w:szCs w:val="36"/>
        </w:rPr>
        <w:t>关于</w:t>
      </w:r>
      <w:r>
        <w:rPr>
          <w:rFonts w:hint="eastAsia" w:ascii="仿宋" w:hAnsi="仿宋" w:eastAsia="仿宋"/>
          <w:b/>
          <w:color w:val="auto"/>
          <w:sz w:val="36"/>
          <w:szCs w:val="36"/>
          <w:lang w:eastAsia="zh-CN"/>
        </w:rPr>
        <w:t>北区及走马岗规划设计服务</w:t>
      </w:r>
    </w:p>
    <w:p>
      <w:pPr>
        <w:spacing w:line="500" w:lineRule="exact"/>
        <w:ind w:firstLine="723" w:firstLineChars="200"/>
        <w:rPr>
          <w:rFonts w:hint="eastAsia" w:ascii="仿宋" w:hAnsi="仿宋" w:eastAsia="仿宋" w:cs="仿宋"/>
          <w:b/>
          <w:color w:val="auto"/>
          <w:sz w:val="36"/>
          <w:szCs w:val="36"/>
        </w:rPr>
        <w:sectPr>
          <w:headerReference r:id="rId4" w:type="first"/>
          <w:footerReference r:id="rId6" w:type="first"/>
          <w:headerReference r:id="rId3" w:type="default"/>
          <w:footerReference r:id="rId5" w:type="default"/>
          <w:pgSz w:w="11906" w:h="16838"/>
          <w:pgMar w:top="1440" w:right="1416" w:bottom="1440" w:left="1134" w:header="851" w:footer="227" w:gutter="0"/>
          <w:pgNumType w:fmt="decimal"/>
          <w:cols w:space="0" w:num="1"/>
          <w:rtlGutter w:val="0"/>
          <w:docGrid w:type="lines" w:linePitch="312" w:charSpace="0"/>
        </w:sectPr>
      </w:pPr>
    </w:p>
    <w:p>
      <w:pPr>
        <w:pStyle w:val="9"/>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一、项目说明</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ZZCG20201124</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项目名称：工程设计服务</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主要技术要求:详见《公开询价项目介绍》</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spacing w:after="0" w:line="460" w:lineRule="exact"/>
        <w:ind w:firstLine="708" w:firstLineChars="253"/>
        <w:rPr>
          <w:rFonts w:ascii="仿宋" w:hAnsi="仿宋" w:eastAsia="仿宋"/>
          <w:color w:val="auto"/>
          <w:sz w:val="28"/>
          <w:szCs w:val="28"/>
        </w:rPr>
      </w:pPr>
      <w:r>
        <w:rPr>
          <w:rFonts w:hint="eastAsia" w:ascii="仿宋" w:hAnsi="仿宋" w:eastAsia="仿宋"/>
          <w:color w:val="auto"/>
          <w:sz w:val="28"/>
          <w:szCs w:val="28"/>
        </w:rPr>
        <w:t>（1）参与人公司驻地须为</w:t>
      </w:r>
      <w:r>
        <w:rPr>
          <w:rFonts w:hint="eastAsia" w:ascii="仿宋" w:hAnsi="仿宋" w:eastAsia="仿宋"/>
          <w:color w:val="auto"/>
          <w:sz w:val="28"/>
          <w:szCs w:val="28"/>
          <w:lang w:eastAsia="zh-CN"/>
        </w:rPr>
        <w:t>郑州</w:t>
      </w:r>
      <w:r>
        <w:rPr>
          <w:rFonts w:hint="eastAsia" w:ascii="仿宋" w:hAnsi="仿宋" w:eastAsia="仿宋"/>
          <w:color w:val="auto"/>
          <w:sz w:val="28"/>
          <w:szCs w:val="28"/>
        </w:rPr>
        <w:t>当地。</w:t>
      </w:r>
    </w:p>
    <w:p>
      <w:pPr>
        <w:spacing w:after="0" w:line="460" w:lineRule="exact"/>
        <w:ind w:left="708"/>
        <w:rPr>
          <w:rFonts w:ascii="仿宋" w:hAnsi="仿宋" w:eastAsia="仿宋"/>
          <w:color w:val="auto"/>
          <w:sz w:val="28"/>
          <w:szCs w:val="28"/>
        </w:rPr>
      </w:pPr>
      <w:r>
        <w:rPr>
          <w:rFonts w:hint="eastAsia" w:ascii="仿宋" w:hAnsi="仿宋" w:eastAsia="仿宋"/>
          <w:color w:val="auto"/>
          <w:sz w:val="28"/>
          <w:szCs w:val="28"/>
        </w:rPr>
        <w:t>（2）参与人应具有独立法人资格，</w:t>
      </w:r>
      <w:r>
        <w:rPr>
          <w:rFonts w:hint="eastAsia" w:ascii="仿宋" w:hAnsi="仿宋" w:eastAsia="仿宋"/>
          <w:b/>
          <w:bCs/>
          <w:color w:val="auto"/>
          <w:sz w:val="28"/>
          <w:szCs w:val="28"/>
        </w:rPr>
        <w:t>具有工程建筑设计资质甲级。</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）参与人应遵守中国的有关法律、法规和规章的规定。</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4</w:t>
      </w:r>
      <w:r>
        <w:rPr>
          <w:rFonts w:hint="eastAsia" w:ascii="仿宋" w:hAnsi="仿宋" w:eastAsia="仿宋"/>
          <w:color w:val="auto"/>
          <w:sz w:val="28"/>
          <w:szCs w:val="28"/>
        </w:rPr>
        <w:t>）参与人需提供近三年内（含三年）类似工程设计业绩不少于五个。</w:t>
      </w:r>
    </w:p>
    <w:p>
      <w:pPr>
        <w:spacing w:after="0" w:line="460" w:lineRule="exact"/>
        <w:ind w:left="1410" w:leftChars="322" w:hanging="702" w:hangingChars="2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5</w:t>
      </w:r>
      <w:r>
        <w:rPr>
          <w:rFonts w:hint="eastAsia" w:ascii="仿宋" w:hAnsi="仿宋" w:eastAsia="仿宋"/>
          <w:color w:val="auto"/>
          <w:sz w:val="28"/>
          <w:szCs w:val="28"/>
        </w:rPr>
        <w:t>）参与人须有良好的商业信誉和健全的财务制度。</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6</w:t>
      </w:r>
      <w:r>
        <w:rPr>
          <w:rFonts w:hint="eastAsia" w:ascii="仿宋" w:hAnsi="仿宋" w:eastAsia="仿宋"/>
          <w:color w:val="auto"/>
          <w:sz w:val="28"/>
          <w:szCs w:val="28"/>
        </w:rPr>
        <w:t>）参与人有依法缴纳税金和社会保障资金的良好记录。</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报价响应文件递交方式：报价响应文件</w:t>
      </w:r>
      <w:r>
        <w:rPr>
          <w:rFonts w:hint="eastAsia" w:ascii="仿宋" w:hAnsi="仿宋" w:eastAsia="仿宋"/>
          <w:color w:val="auto"/>
          <w:sz w:val="28"/>
          <w:szCs w:val="28"/>
          <w:lang w:eastAsia="zh-CN"/>
        </w:rPr>
        <w:t>密封递交郑州城轨交通中等专业学校行政楼二楼采购管理科办公室，王景</w:t>
      </w:r>
      <w:r>
        <w:rPr>
          <w:rFonts w:hint="eastAsia" w:ascii="仿宋" w:hAnsi="仿宋" w:eastAsia="仿宋"/>
          <w:color w:val="auto"/>
          <w:sz w:val="28"/>
          <w:szCs w:val="28"/>
          <w:lang w:val="en-US" w:eastAsia="zh-CN"/>
        </w:rPr>
        <w:t>18860366321</w:t>
      </w:r>
      <w:r>
        <w:rPr>
          <w:rFonts w:hint="eastAsia" w:ascii="仿宋" w:hAnsi="仿宋" w:eastAsia="仿宋"/>
          <w:color w:val="auto"/>
          <w:sz w:val="28"/>
          <w:szCs w:val="28"/>
        </w:rPr>
        <w:t>。</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20</w:t>
      </w:r>
      <w:bookmarkStart w:id="208" w:name="_GoBack"/>
      <w:bookmarkEnd w:id="208"/>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10</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上午</w:t>
      </w:r>
      <w:r>
        <w:rPr>
          <w:rFonts w:ascii="仿宋" w:hAnsi="仿宋" w:eastAsia="仿宋"/>
          <w:color w:val="auto"/>
          <w:sz w:val="28"/>
          <w:szCs w:val="28"/>
          <w:shd w:val="clear" w:color="auto" w:fill="FFFFFF"/>
        </w:rPr>
        <w:t>10</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pStyle w:val="11"/>
        <w:numPr>
          <w:ilvl w:val="1"/>
          <w:numId w:val="1"/>
        </w:numPr>
        <w:spacing w:after="0" w:line="460" w:lineRule="exact"/>
        <w:ind w:firstLineChars="0"/>
        <w:rPr>
          <w:rFonts w:hint="default" w:ascii="仿宋" w:hAnsi="仿宋" w:eastAsia="仿宋"/>
          <w:color w:val="auto"/>
          <w:sz w:val="28"/>
          <w:szCs w:val="28"/>
          <w:lang w:val="en-US"/>
        </w:rPr>
      </w:pPr>
      <w:r>
        <w:rPr>
          <w:rFonts w:hint="eastAsia" w:ascii="仿宋" w:hAnsi="仿宋" w:eastAsia="仿宋"/>
          <w:color w:val="auto"/>
          <w:sz w:val="28"/>
          <w:szCs w:val="28"/>
        </w:rPr>
        <w:t>项目咨询联络人：</w:t>
      </w:r>
      <w:r>
        <w:rPr>
          <w:rFonts w:hint="eastAsia" w:ascii="仿宋" w:hAnsi="仿宋" w:eastAsia="仿宋"/>
          <w:color w:val="auto"/>
          <w:sz w:val="28"/>
          <w:szCs w:val="28"/>
          <w:lang w:eastAsia="zh-CN"/>
        </w:rPr>
        <w:t>敖德康</w:t>
      </w: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联系电话：</w:t>
      </w:r>
      <w:r>
        <w:rPr>
          <w:rFonts w:ascii="仿宋" w:hAnsi="仿宋" w:eastAsia="仿宋"/>
          <w:color w:val="auto"/>
          <w:sz w:val="28"/>
          <w:szCs w:val="28"/>
        </w:rPr>
        <w:t>1</w:t>
      </w:r>
      <w:r>
        <w:rPr>
          <w:rFonts w:hint="eastAsia" w:ascii="仿宋" w:hAnsi="仿宋" w:eastAsia="仿宋"/>
          <w:color w:val="auto"/>
          <w:sz w:val="28"/>
          <w:szCs w:val="28"/>
          <w:lang w:val="en-US" w:eastAsia="zh-CN"/>
        </w:rPr>
        <w:t>5979137931</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widowControl w:val="0"/>
        <w:spacing w:after="0" w:line="500" w:lineRule="exact"/>
        <w:ind w:left="426"/>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所有项目均以人民币报价；</w:t>
      </w:r>
    </w:p>
    <w:p>
      <w:pPr>
        <w:widowControl w:val="0"/>
        <w:spacing w:after="0" w:line="500" w:lineRule="exact"/>
        <w:ind w:left="426"/>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ascii="仿宋" w:hAnsi="仿宋" w:eastAsia="仿宋"/>
          <w:color w:val="auto"/>
          <w:sz w:val="28"/>
          <w:szCs w:val="28"/>
        </w:rPr>
        <w:t>1</w:t>
      </w:r>
      <w:r>
        <w:rPr>
          <w:rFonts w:hint="eastAsia" w:ascii="仿宋" w:hAnsi="仿宋" w:eastAsia="仿宋"/>
          <w:color w:val="auto"/>
          <w:sz w:val="28"/>
          <w:szCs w:val="28"/>
        </w:rPr>
        <w:t>份，报价</w:t>
      </w:r>
      <w:r>
        <w:rPr>
          <w:rFonts w:ascii="仿宋" w:hAnsi="仿宋" w:eastAsia="仿宋"/>
          <w:color w:val="auto"/>
          <w:sz w:val="28"/>
          <w:szCs w:val="28"/>
        </w:rPr>
        <w:t>文件必须</w:t>
      </w:r>
      <w:r>
        <w:rPr>
          <w:rFonts w:hint="eastAsia" w:ascii="仿宋" w:hAnsi="仿宋" w:eastAsia="仿宋"/>
          <w:color w:val="auto"/>
          <w:sz w:val="28"/>
          <w:szCs w:val="28"/>
        </w:rPr>
        <w:t>按照规定要求制作，须由参与人填写并加盖公章；</w:t>
      </w:r>
    </w:p>
    <w:p>
      <w:pPr>
        <w:widowControl w:val="0"/>
        <w:spacing w:after="0" w:line="500" w:lineRule="exact"/>
        <w:ind w:left="426"/>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报价响应文件扫描件应清晰可见，因扫描不清晰或表达不清所引起的后果由参与人自负；</w:t>
      </w:r>
    </w:p>
    <w:p>
      <w:pPr>
        <w:widowControl w:val="0"/>
        <w:spacing w:after="0" w:line="500" w:lineRule="exact"/>
        <w:ind w:left="426"/>
        <w:jc w:val="both"/>
        <w:rPr>
          <w:rFonts w:hint="eastAsia" w:ascii="仿宋" w:hAnsi="仿宋" w:eastAsia="仿宋" w:cs="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 xml:space="preserve">. </w:t>
      </w:r>
      <w:r>
        <w:rPr>
          <w:rFonts w:hint="eastAsia" w:ascii="仿宋" w:hAnsi="仿宋" w:eastAsia="仿宋" w:cs="仿宋"/>
          <w:b/>
          <w:bCs/>
          <w:color w:val="auto"/>
          <w:sz w:val="28"/>
          <w:szCs w:val="28"/>
        </w:rPr>
        <w:t>报价响应文件及所有相关资料需同时进行密封处理，并在密封处加盖公章，未做密封处理及未加盖公章的视为无效报价；</w:t>
      </w:r>
    </w:p>
    <w:p>
      <w:pPr>
        <w:widowControl w:val="0"/>
        <w:spacing w:after="0" w:line="500" w:lineRule="exact"/>
        <w:ind w:left="426"/>
        <w:jc w:val="both"/>
        <w:rPr>
          <w:rFonts w:hint="eastAsia" w:ascii="仿宋" w:hAnsi="仿宋" w:eastAsia="仿宋" w:cs="仿宋"/>
          <w:color w:val="auto"/>
          <w:sz w:val="28"/>
          <w:szCs w:val="28"/>
        </w:rPr>
      </w:pPr>
      <w:r>
        <w:rPr>
          <w:rFonts w:hint="eastAsia" w:ascii="仿宋" w:hAnsi="仿宋" w:eastAsia="仿宋" w:cs="仿宋"/>
          <w:color w:val="auto"/>
          <w:sz w:val="28"/>
          <w:szCs w:val="28"/>
        </w:rPr>
        <w:t>5. 一个参与人只能提交一个报价响应文件。但如果参与人之间存在下列互为关联关系情形之一的，不得同时参加本项目报价：</w:t>
      </w:r>
    </w:p>
    <w:p>
      <w:pPr>
        <w:widowControl w:val="0"/>
        <w:spacing w:after="0" w:line="500" w:lineRule="exact"/>
        <w:ind w:left="426"/>
        <w:jc w:val="both"/>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widowControl w:val="0"/>
        <w:spacing w:after="0" w:line="500" w:lineRule="exact"/>
        <w:ind w:left="426"/>
        <w:jc w:val="both"/>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widowControl w:val="0"/>
        <w:spacing w:after="0" w:line="500" w:lineRule="exact"/>
        <w:ind w:left="426"/>
        <w:jc w:val="both"/>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widowControl w:val="0"/>
        <w:spacing w:after="0" w:line="500" w:lineRule="exact"/>
        <w:ind w:left="426"/>
        <w:rPr>
          <w:rFonts w:hint="eastAsia" w:eastAsia="仿宋"/>
          <w:color w:val="auto"/>
          <w:lang w:eastAsia="zh-CN"/>
        </w:rPr>
        <w:sectPr>
          <w:footerReference r:id="rId9" w:type="first"/>
          <w:headerReference r:id="rId7" w:type="default"/>
          <w:footerReference r:id="rId8"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color w:val="auto"/>
          <w:sz w:val="28"/>
          <w:szCs w:val="28"/>
        </w:rPr>
        <w:t>参与人所报项目均符合采购人要求,经过磋商所报价格为合理价格的参与人为成交参与人，最低报价不作为成交的保证</w:t>
      </w:r>
    </w:p>
    <w:p>
      <w:pPr>
        <w:pStyle w:val="9"/>
        <w:spacing w:line="360" w:lineRule="auto"/>
        <w:outlineLvl w:val="0"/>
        <w:rPr>
          <w:rFonts w:hint="eastAsia" w:ascii="仿宋" w:hAnsi="仿宋" w:eastAsia="仿宋" w:cs="仿宋"/>
          <w:b/>
          <w:color w:val="auto"/>
          <w:sz w:val="44"/>
          <w:szCs w:val="44"/>
        </w:rPr>
      </w:pPr>
    </w:p>
    <w:p>
      <w:pPr>
        <w:pStyle w:val="9"/>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bookmarkEnd w:id="48"/>
    <w:p>
      <w:pPr>
        <w:rPr>
          <w:rFonts w:hint="eastAsia" w:ascii="仿宋" w:hAnsi="仿宋" w:eastAsia="仿宋"/>
          <w:b/>
          <w:color w:val="auto"/>
          <w:sz w:val="28"/>
          <w:szCs w:val="28"/>
          <w:lang w:val="en-US" w:eastAsia="zh-CN"/>
        </w:rPr>
      </w:pPr>
      <w:bookmarkStart w:id="49" w:name="_Toc33774072"/>
      <w:r>
        <w:rPr>
          <w:rFonts w:hint="eastAsia" w:ascii="仿宋" w:hAnsi="仿宋" w:eastAsia="仿宋"/>
          <w:b/>
          <w:color w:val="auto"/>
          <w:sz w:val="28"/>
          <w:szCs w:val="28"/>
          <w:lang w:val="en-US" w:eastAsia="zh-CN"/>
        </w:rPr>
        <w:t>一、委托项目基本概况：</w:t>
      </w:r>
    </w:p>
    <w:p>
      <w:pPr>
        <w:ind w:firstLine="562" w:firstLineChars="200"/>
        <w:rPr>
          <w:rFonts w:hint="eastAsia" w:ascii="仿宋" w:hAnsi="仿宋" w:eastAsia="仿宋"/>
          <w:b/>
          <w:color w:val="auto"/>
          <w:sz w:val="28"/>
          <w:szCs w:val="28"/>
        </w:rPr>
      </w:pPr>
      <w:r>
        <w:rPr>
          <w:rFonts w:hint="eastAsia" w:ascii="仿宋" w:hAnsi="仿宋" w:eastAsia="仿宋"/>
          <w:b/>
          <w:color w:val="auto"/>
          <w:sz w:val="28"/>
          <w:szCs w:val="28"/>
        </w:rPr>
        <w:t>走马岗村</w:t>
      </w:r>
      <w:r>
        <w:rPr>
          <w:rFonts w:hint="eastAsia" w:ascii="仿宋" w:hAnsi="仿宋" w:eastAsia="仿宋"/>
          <w:b/>
          <w:color w:val="auto"/>
          <w:sz w:val="28"/>
          <w:szCs w:val="28"/>
          <w:lang w:eastAsia="zh-CN"/>
        </w:rPr>
        <w:t>位于我校中央地带，</w:t>
      </w:r>
      <w:r>
        <w:rPr>
          <w:rFonts w:hint="eastAsia" w:ascii="仿宋" w:hAnsi="仿宋" w:eastAsia="仿宋"/>
          <w:b/>
          <w:color w:val="auto"/>
          <w:sz w:val="28"/>
          <w:szCs w:val="28"/>
        </w:rPr>
        <w:t>拆迁后占地面积约33600平方米。北</w:t>
      </w:r>
      <w:r>
        <w:rPr>
          <w:rFonts w:hint="eastAsia" w:ascii="仿宋" w:hAnsi="仿宋" w:eastAsia="仿宋"/>
          <w:b/>
          <w:color w:val="auto"/>
          <w:sz w:val="28"/>
          <w:szCs w:val="28"/>
          <w:lang w:eastAsia="zh-CN"/>
        </w:rPr>
        <w:t>侧</w:t>
      </w:r>
      <w:r>
        <w:rPr>
          <w:rFonts w:hint="eastAsia" w:ascii="仿宋" w:hAnsi="仿宋" w:eastAsia="仿宋"/>
          <w:b/>
          <w:color w:val="auto"/>
          <w:sz w:val="28"/>
          <w:szCs w:val="28"/>
        </w:rPr>
        <w:t>长度约132米，南侧长度197米.东侧长223米，东侧斜长232米，呈梯形状。后附现有地面标高图。</w:t>
      </w:r>
    </w:p>
    <w:p>
      <w:pPr>
        <w:rPr>
          <w:rFonts w:hint="eastAsia" w:ascii="仿宋" w:hAnsi="仿宋" w:eastAsia="仿宋"/>
          <w:b/>
          <w:color w:val="auto"/>
          <w:sz w:val="28"/>
          <w:szCs w:val="28"/>
        </w:rPr>
      </w:pPr>
      <w:r>
        <w:rPr>
          <w:rFonts w:hint="eastAsia" w:ascii="仿宋" w:hAnsi="仿宋" w:eastAsia="仿宋"/>
          <w:b/>
          <w:color w:val="auto"/>
          <w:sz w:val="28"/>
          <w:szCs w:val="28"/>
        </w:rPr>
        <w:t>设计任务：</w:t>
      </w:r>
    </w:p>
    <w:p>
      <w:pPr>
        <w:rPr>
          <w:rFonts w:hint="eastAsia" w:ascii="仿宋" w:hAnsi="仿宋" w:eastAsia="仿宋"/>
          <w:b/>
          <w:color w:val="auto"/>
          <w:sz w:val="28"/>
          <w:szCs w:val="28"/>
        </w:rPr>
      </w:pPr>
      <w:r>
        <w:rPr>
          <w:rFonts w:hint="eastAsia" w:ascii="仿宋" w:hAnsi="仿宋" w:eastAsia="仿宋"/>
          <w:b/>
          <w:color w:val="auto"/>
          <w:sz w:val="28"/>
          <w:szCs w:val="28"/>
        </w:rPr>
        <w:t>1、走马岗新建校区：</w:t>
      </w:r>
    </w:p>
    <w:p>
      <w:pPr>
        <w:rPr>
          <w:rFonts w:hint="eastAsia" w:ascii="仿宋" w:hAnsi="仿宋" w:eastAsia="仿宋"/>
          <w:b/>
          <w:color w:val="auto"/>
          <w:sz w:val="28"/>
          <w:szCs w:val="28"/>
        </w:rPr>
      </w:pPr>
      <w:r>
        <w:rPr>
          <w:rFonts w:hint="eastAsia" w:ascii="仿宋" w:hAnsi="仿宋" w:eastAsia="仿宋"/>
          <w:b/>
          <w:color w:val="auto"/>
          <w:sz w:val="28"/>
          <w:szCs w:val="28"/>
        </w:rPr>
        <w:t>①围墙：沿地块最东侧砌筑围墙，连接南、北侧已有围墙。顶部高度一致。围墙要求：底部挡土墙采用毛石砌筑，上部用非粘土烧结砖，高度2.5米，上部两层砖及混凝土压顶，总高度2.7米。挡土墙院内外高差平均3米，院内填土3米。</w:t>
      </w:r>
    </w:p>
    <w:p>
      <w:pPr>
        <w:rPr>
          <w:rFonts w:hint="eastAsia" w:ascii="仿宋" w:hAnsi="仿宋" w:eastAsia="仿宋"/>
          <w:b/>
          <w:color w:val="auto"/>
          <w:sz w:val="28"/>
          <w:szCs w:val="28"/>
        </w:rPr>
      </w:pPr>
      <w:r>
        <w:rPr>
          <w:rFonts w:hint="eastAsia" w:ascii="仿宋" w:hAnsi="仿宋" w:eastAsia="仿宋"/>
          <w:b/>
          <w:color w:val="auto"/>
          <w:sz w:val="28"/>
          <w:szCs w:val="28"/>
        </w:rPr>
        <w:t>②道路：围墙向东3米为道路东侧边，修筑环校道路，宽度8米，两侧设置石材路缘石，用于校内施工及其它车辆通行。道路西侧留有人行道，人行道西侧有南园铁路单行顺延至北区并设置站台。15号宿舍楼西侧道路贯通南北校区，宽度8米。</w:t>
      </w:r>
    </w:p>
    <w:p>
      <w:pPr>
        <w:rPr>
          <w:rFonts w:hint="eastAsia" w:ascii="仿宋" w:hAnsi="仿宋" w:eastAsia="仿宋"/>
          <w:b/>
          <w:color w:val="auto"/>
          <w:sz w:val="28"/>
          <w:szCs w:val="28"/>
        </w:rPr>
      </w:pPr>
      <w:r>
        <w:rPr>
          <w:rFonts w:hint="eastAsia" w:ascii="仿宋" w:hAnsi="仿宋" w:eastAsia="仿宋"/>
          <w:b/>
          <w:color w:val="auto"/>
          <w:sz w:val="28"/>
          <w:szCs w:val="28"/>
        </w:rPr>
        <w:t>③建设综合性体育运动场地，包含看台、标准塑胶跑道、篮球场、棒球场；看台背面建设二层建筑物，设计游泳池，一层为室内武术馆、兵乓球，二楼为健身房；以及附属配套设施如：厕所、给排水、照明；原有露天体育场地修建篮球、排球、兵乓球场地。</w:t>
      </w:r>
    </w:p>
    <w:p>
      <w:pPr>
        <w:rPr>
          <w:rFonts w:hint="eastAsia" w:ascii="仿宋" w:hAnsi="仿宋" w:eastAsia="仿宋"/>
          <w:b/>
          <w:color w:val="auto"/>
          <w:sz w:val="28"/>
          <w:szCs w:val="28"/>
        </w:rPr>
      </w:pPr>
      <w:r>
        <w:rPr>
          <w:rFonts w:hint="eastAsia" w:ascii="仿宋" w:hAnsi="仿宋" w:eastAsia="仿宋"/>
          <w:b/>
          <w:color w:val="auto"/>
          <w:sz w:val="28"/>
          <w:szCs w:val="28"/>
        </w:rPr>
        <w:t>④15号宿舍楼南侧建设北区餐厅，同时容纳就餐人数约</w:t>
      </w:r>
      <w:r>
        <w:rPr>
          <w:rFonts w:hint="eastAsia" w:ascii="仿宋" w:hAnsi="仿宋" w:eastAsia="仿宋"/>
          <w:b/>
          <w:color w:val="auto"/>
          <w:sz w:val="28"/>
          <w:szCs w:val="28"/>
          <w:lang w:val="en-US" w:eastAsia="zh-CN"/>
        </w:rPr>
        <w:t>22</w:t>
      </w:r>
      <w:r>
        <w:rPr>
          <w:rFonts w:hint="eastAsia" w:ascii="仿宋" w:hAnsi="仿宋" w:eastAsia="仿宋"/>
          <w:b/>
          <w:color w:val="auto"/>
          <w:sz w:val="28"/>
          <w:szCs w:val="28"/>
        </w:rPr>
        <w:t>00人次。</w:t>
      </w:r>
    </w:p>
    <w:p>
      <w:pPr>
        <w:rPr>
          <w:rFonts w:hint="eastAsia" w:ascii="仿宋" w:hAnsi="仿宋" w:eastAsia="仿宋"/>
          <w:b/>
          <w:color w:val="auto"/>
          <w:sz w:val="28"/>
          <w:szCs w:val="28"/>
        </w:rPr>
      </w:pPr>
      <w:r>
        <w:rPr>
          <w:rFonts w:hint="eastAsia" w:ascii="仿宋" w:hAnsi="仿宋" w:eastAsia="仿宋"/>
          <w:b/>
          <w:color w:val="auto"/>
          <w:sz w:val="28"/>
          <w:szCs w:val="28"/>
        </w:rPr>
        <w:t>2、校园最北区待开发校区：</w:t>
      </w:r>
    </w:p>
    <w:p>
      <w:pPr>
        <w:rPr>
          <w:rFonts w:hint="eastAsia" w:ascii="仿宋" w:hAnsi="仿宋" w:eastAsia="仿宋"/>
          <w:b/>
          <w:color w:val="auto"/>
          <w:sz w:val="28"/>
          <w:szCs w:val="28"/>
        </w:rPr>
      </w:pPr>
      <w:r>
        <w:rPr>
          <w:rFonts w:hint="eastAsia" w:ascii="仿宋" w:hAnsi="仿宋" w:eastAsia="仿宋"/>
          <w:b/>
          <w:color w:val="auto"/>
          <w:sz w:val="28"/>
          <w:szCs w:val="28"/>
        </w:rPr>
        <w:t>①职工宿舍楼2栋建于学校最西北角处，共计450套房子，其中30㎡单身宿舍200套，45㎡150套两人间是一室一厅一厨一卫；80套80㎡房子，两室两厅一厨一卫；20套100㎡房子，三室两厅一厨一卫。其附属设施有超市、休闲广场、停车场、充电设施生活附属设施等。</w:t>
      </w:r>
    </w:p>
    <w:p>
      <w:pPr>
        <w:rPr>
          <w:rFonts w:hint="eastAsia" w:ascii="仿宋" w:hAnsi="仿宋" w:eastAsia="仿宋"/>
          <w:b/>
          <w:color w:val="auto"/>
          <w:sz w:val="28"/>
          <w:szCs w:val="28"/>
        </w:rPr>
      </w:pPr>
      <w:r>
        <w:rPr>
          <w:rFonts w:hint="eastAsia" w:ascii="仿宋" w:hAnsi="仿宋" w:eastAsia="仿宋"/>
          <w:b/>
          <w:color w:val="auto"/>
          <w:sz w:val="28"/>
          <w:szCs w:val="28"/>
        </w:rPr>
        <w:t>②学术报告厅共计3个，一个可容纳人数400人，一个可容纳人数800人，一个可容纳人数1500人。</w:t>
      </w:r>
    </w:p>
    <w:p>
      <w:pPr>
        <w:rPr>
          <w:rFonts w:hint="eastAsia" w:ascii="仿宋" w:hAnsi="仿宋" w:eastAsia="仿宋"/>
          <w:b/>
          <w:color w:val="auto"/>
          <w:sz w:val="28"/>
          <w:szCs w:val="28"/>
        </w:rPr>
      </w:pPr>
      <w:r>
        <w:rPr>
          <w:rFonts w:hint="eastAsia" w:ascii="仿宋" w:hAnsi="仿宋" w:eastAsia="仿宋"/>
          <w:b/>
          <w:color w:val="auto"/>
          <w:sz w:val="28"/>
          <w:szCs w:val="28"/>
        </w:rPr>
        <w:t>③其余地方建设学校宿舍楼、教学楼及实训楼等教学及其附属设施建筑物如大门、体育场地、厕所、给排水、照明、排污、商铺等。</w:t>
      </w:r>
    </w:p>
    <w:p>
      <w:pPr>
        <w:numPr>
          <w:ilvl w:val="0"/>
          <w:numId w:val="2"/>
        </w:numPr>
        <w:rPr>
          <w:rFonts w:hint="eastAsia" w:ascii="仿宋" w:hAnsi="仿宋" w:eastAsia="仿宋"/>
          <w:b/>
          <w:color w:val="auto"/>
          <w:sz w:val="28"/>
          <w:szCs w:val="28"/>
        </w:rPr>
      </w:pPr>
      <w:r>
        <w:rPr>
          <w:rFonts w:hint="eastAsia" w:ascii="仿宋" w:hAnsi="仿宋" w:eastAsia="仿宋"/>
          <w:b/>
          <w:color w:val="auto"/>
          <w:sz w:val="28"/>
          <w:szCs w:val="28"/>
        </w:rPr>
        <w:t>原南校区人工湖位置建设行政办公楼。</w:t>
      </w:r>
    </w:p>
    <w:p>
      <w:pPr>
        <w:numPr>
          <w:ilvl w:val="0"/>
          <w:numId w:val="0"/>
        </w:numPr>
        <w:rPr>
          <w:rFonts w:hint="eastAsia" w:ascii="仿宋" w:hAnsi="仿宋" w:eastAsia="仿宋"/>
          <w:b/>
          <w:color w:val="auto"/>
          <w:sz w:val="28"/>
          <w:szCs w:val="28"/>
        </w:rPr>
      </w:pPr>
      <w:r>
        <w:rPr>
          <w:rFonts w:hint="eastAsia" w:ascii="仿宋" w:hAnsi="仿宋" w:eastAsia="仿宋"/>
          <w:b/>
          <w:color w:val="auto"/>
          <w:sz w:val="28"/>
          <w:szCs w:val="28"/>
        </w:rPr>
        <w:t>二、委托项目设计依据：</w:t>
      </w:r>
    </w:p>
    <w:p>
      <w:pPr>
        <w:numPr>
          <w:ilvl w:val="0"/>
          <w:numId w:val="0"/>
        </w:numPr>
        <w:rPr>
          <w:rFonts w:hint="eastAsia" w:ascii="仿宋" w:hAnsi="仿宋" w:eastAsia="仿宋"/>
          <w:b/>
          <w:color w:val="auto"/>
          <w:sz w:val="28"/>
          <w:szCs w:val="28"/>
          <w:lang w:eastAsia="zh-CN"/>
        </w:rPr>
      </w:pPr>
      <w:r>
        <w:rPr>
          <w:rFonts w:hint="eastAsia" w:ascii="仿宋" w:hAnsi="仿宋" w:eastAsia="仿宋"/>
          <w:b/>
          <w:color w:val="auto"/>
          <w:sz w:val="28"/>
          <w:szCs w:val="28"/>
        </w:rPr>
        <w:t>根据国家现行各类规范、</w:t>
      </w:r>
      <w:r>
        <w:rPr>
          <w:rFonts w:hint="eastAsia" w:ascii="仿宋" w:hAnsi="仿宋" w:eastAsia="仿宋"/>
          <w:b/>
          <w:color w:val="auto"/>
          <w:sz w:val="28"/>
          <w:szCs w:val="28"/>
          <w:lang w:eastAsia="zh-CN"/>
        </w:rPr>
        <w:t>郑州</w:t>
      </w:r>
      <w:r>
        <w:rPr>
          <w:rFonts w:hint="eastAsia" w:ascii="仿宋" w:hAnsi="仿宋" w:eastAsia="仿宋"/>
          <w:b/>
          <w:color w:val="auto"/>
          <w:sz w:val="28"/>
          <w:szCs w:val="28"/>
        </w:rPr>
        <w:t>市地区规范</w:t>
      </w:r>
      <w:r>
        <w:rPr>
          <w:rFonts w:hint="eastAsia" w:ascii="仿宋" w:hAnsi="仿宋" w:eastAsia="仿宋"/>
          <w:b/>
          <w:color w:val="auto"/>
          <w:sz w:val="28"/>
          <w:szCs w:val="28"/>
          <w:lang w:eastAsia="zh-CN"/>
        </w:rPr>
        <w:t>；</w:t>
      </w:r>
    </w:p>
    <w:p>
      <w:pPr>
        <w:numPr>
          <w:ilvl w:val="0"/>
          <w:numId w:val="3"/>
        </w:numPr>
        <w:rPr>
          <w:rFonts w:hint="eastAsia" w:ascii="仿宋" w:hAnsi="仿宋" w:eastAsia="仿宋"/>
          <w:b/>
          <w:color w:val="auto"/>
          <w:sz w:val="28"/>
          <w:szCs w:val="28"/>
          <w:lang w:eastAsia="zh-CN"/>
        </w:rPr>
      </w:pPr>
      <w:r>
        <w:rPr>
          <w:rFonts w:hint="eastAsia" w:ascii="仿宋" w:hAnsi="仿宋" w:eastAsia="仿宋"/>
          <w:b/>
          <w:color w:val="auto"/>
          <w:sz w:val="28"/>
          <w:szCs w:val="28"/>
          <w:lang w:eastAsia="zh-CN"/>
        </w:rPr>
        <w:t>委托项目设计范围：</w:t>
      </w:r>
    </w:p>
    <w:p>
      <w:pPr>
        <w:numPr>
          <w:ilvl w:val="0"/>
          <w:numId w:val="0"/>
        </w:numPr>
        <w:rPr>
          <w:rFonts w:ascii="仿宋" w:hAnsi="仿宋" w:eastAsia="仿宋"/>
          <w:b/>
          <w:bCs/>
          <w:color w:val="auto"/>
          <w:sz w:val="28"/>
          <w:szCs w:val="28"/>
        </w:rPr>
      </w:pPr>
      <w:r>
        <w:rPr>
          <w:rFonts w:hint="eastAsia" w:ascii="仿宋" w:hAnsi="仿宋" w:eastAsia="仿宋"/>
          <w:b/>
          <w:bCs/>
          <w:color w:val="auto"/>
          <w:sz w:val="28"/>
          <w:szCs w:val="28"/>
        </w:rPr>
        <w:t>设计单位需按时按质量完成</w:t>
      </w:r>
      <w:r>
        <w:rPr>
          <w:rFonts w:hint="eastAsia" w:ascii="仿宋" w:hAnsi="仿宋" w:eastAsia="仿宋"/>
          <w:b/>
          <w:bCs/>
          <w:color w:val="auto"/>
          <w:sz w:val="28"/>
          <w:szCs w:val="28"/>
          <w:lang w:eastAsia="zh-CN"/>
        </w:rPr>
        <w:t>道路围墙、运动场、教工宿舍楼</w:t>
      </w:r>
      <w:r>
        <w:rPr>
          <w:rFonts w:ascii="仿宋" w:hAnsi="仿宋" w:eastAsia="仿宋"/>
          <w:b/>
          <w:bCs/>
          <w:color w:val="auto"/>
          <w:sz w:val="28"/>
          <w:szCs w:val="28"/>
        </w:rPr>
        <w:t>、</w:t>
      </w:r>
      <w:r>
        <w:rPr>
          <w:rFonts w:hint="eastAsia" w:ascii="仿宋" w:hAnsi="仿宋" w:eastAsia="仿宋"/>
          <w:b/>
          <w:bCs/>
          <w:color w:val="auto"/>
          <w:sz w:val="28"/>
          <w:szCs w:val="28"/>
        </w:rPr>
        <w:t>报告厅</w:t>
      </w:r>
      <w:r>
        <w:rPr>
          <w:rFonts w:ascii="仿宋" w:hAnsi="仿宋" w:eastAsia="仿宋"/>
          <w:b/>
          <w:bCs/>
          <w:color w:val="auto"/>
          <w:sz w:val="28"/>
          <w:szCs w:val="28"/>
        </w:rPr>
        <w:t>、</w:t>
      </w:r>
      <w:r>
        <w:rPr>
          <w:rFonts w:hint="eastAsia" w:ascii="仿宋" w:hAnsi="仿宋" w:eastAsia="仿宋"/>
          <w:b/>
          <w:bCs/>
          <w:color w:val="auto"/>
          <w:sz w:val="28"/>
          <w:szCs w:val="28"/>
          <w:lang w:eastAsia="zh-CN"/>
        </w:rPr>
        <w:t>餐厅</w:t>
      </w:r>
      <w:r>
        <w:rPr>
          <w:rFonts w:hint="eastAsia" w:ascii="仿宋" w:hAnsi="仿宋" w:eastAsia="仿宋"/>
          <w:b/>
          <w:bCs/>
          <w:color w:val="auto"/>
          <w:sz w:val="28"/>
          <w:szCs w:val="28"/>
        </w:rPr>
        <w:t>的设计，包含但不限于：</w:t>
      </w:r>
    </w:p>
    <w:p>
      <w:pPr>
        <w:spacing w:after="0" w:line="500" w:lineRule="exact"/>
        <w:ind w:firstLine="562" w:firstLineChars="200"/>
        <w:rPr>
          <w:rFonts w:ascii="仿宋" w:hAnsi="仿宋" w:eastAsia="仿宋"/>
          <w:b/>
          <w:bCs/>
          <w:color w:val="auto"/>
          <w:sz w:val="28"/>
          <w:szCs w:val="28"/>
        </w:rPr>
      </w:pPr>
      <w:r>
        <w:rPr>
          <w:rFonts w:hint="eastAsia" w:ascii="仿宋" w:hAnsi="仿宋" w:eastAsia="仿宋"/>
          <w:b/>
          <w:bCs/>
          <w:color w:val="auto"/>
          <w:sz w:val="28"/>
          <w:szCs w:val="28"/>
        </w:rPr>
        <w:t>1.建筑</w:t>
      </w:r>
      <w:r>
        <w:rPr>
          <w:rFonts w:ascii="仿宋" w:hAnsi="仿宋" w:eastAsia="仿宋"/>
          <w:b/>
          <w:bCs/>
          <w:color w:val="auto"/>
          <w:sz w:val="28"/>
          <w:szCs w:val="28"/>
        </w:rPr>
        <w:t>、</w:t>
      </w:r>
      <w:r>
        <w:rPr>
          <w:rFonts w:hint="eastAsia" w:ascii="仿宋" w:hAnsi="仿宋" w:eastAsia="仿宋"/>
          <w:b/>
          <w:bCs/>
          <w:color w:val="auto"/>
          <w:sz w:val="28"/>
          <w:szCs w:val="28"/>
        </w:rPr>
        <w:t>市政要求的配套设施用房</w:t>
      </w:r>
      <w:r>
        <w:rPr>
          <w:rFonts w:ascii="仿宋" w:hAnsi="仿宋" w:eastAsia="仿宋"/>
          <w:b/>
          <w:bCs/>
          <w:color w:val="auto"/>
          <w:sz w:val="28"/>
          <w:szCs w:val="28"/>
        </w:rPr>
        <w:t>、</w:t>
      </w:r>
      <w:r>
        <w:rPr>
          <w:rFonts w:hint="eastAsia" w:ascii="仿宋" w:hAnsi="仿宋" w:eastAsia="仿宋"/>
          <w:b/>
          <w:bCs/>
          <w:color w:val="auto"/>
          <w:sz w:val="28"/>
          <w:szCs w:val="28"/>
        </w:rPr>
        <w:t>大门主次入口</w:t>
      </w:r>
      <w:r>
        <w:rPr>
          <w:rFonts w:ascii="仿宋" w:hAnsi="仿宋" w:eastAsia="仿宋"/>
          <w:b/>
          <w:bCs/>
          <w:color w:val="auto"/>
          <w:sz w:val="28"/>
          <w:szCs w:val="28"/>
        </w:rPr>
        <w:t>、</w:t>
      </w:r>
      <w:r>
        <w:rPr>
          <w:rFonts w:hint="eastAsia" w:ascii="仿宋" w:hAnsi="仿宋" w:eastAsia="仿宋"/>
          <w:b/>
          <w:bCs/>
          <w:color w:val="auto"/>
          <w:sz w:val="28"/>
          <w:szCs w:val="28"/>
        </w:rPr>
        <w:t>场地道路附属工程</w:t>
      </w:r>
      <w:r>
        <w:rPr>
          <w:rFonts w:ascii="仿宋" w:hAnsi="仿宋" w:eastAsia="仿宋"/>
          <w:b/>
          <w:bCs/>
          <w:color w:val="auto"/>
          <w:sz w:val="28"/>
          <w:szCs w:val="28"/>
        </w:rPr>
        <w:t>、</w:t>
      </w:r>
      <w:r>
        <w:rPr>
          <w:rFonts w:hint="eastAsia" w:ascii="仿宋" w:hAnsi="仿宋" w:eastAsia="仿宋"/>
          <w:b/>
          <w:bCs/>
          <w:color w:val="auto"/>
          <w:sz w:val="28"/>
          <w:szCs w:val="28"/>
        </w:rPr>
        <w:t>园林景观配套的建筑物</w:t>
      </w:r>
      <w:r>
        <w:rPr>
          <w:rFonts w:ascii="仿宋" w:hAnsi="仿宋" w:eastAsia="仿宋"/>
          <w:b/>
          <w:bCs/>
          <w:color w:val="auto"/>
          <w:sz w:val="28"/>
          <w:szCs w:val="28"/>
        </w:rPr>
        <w:t>、</w:t>
      </w:r>
      <w:r>
        <w:rPr>
          <w:rFonts w:hint="eastAsia" w:ascii="仿宋" w:hAnsi="仿宋" w:eastAsia="仿宋"/>
          <w:b/>
          <w:bCs/>
          <w:color w:val="auto"/>
          <w:sz w:val="28"/>
          <w:szCs w:val="28"/>
        </w:rPr>
        <w:t>景观挡墙；</w:t>
      </w:r>
    </w:p>
    <w:p>
      <w:pPr>
        <w:spacing w:after="0" w:line="500" w:lineRule="exact"/>
        <w:ind w:firstLine="562" w:firstLineChars="200"/>
        <w:rPr>
          <w:rFonts w:ascii="仿宋" w:hAnsi="仿宋" w:eastAsia="仿宋"/>
          <w:b/>
          <w:bCs/>
          <w:color w:val="auto"/>
          <w:sz w:val="28"/>
          <w:szCs w:val="28"/>
        </w:rPr>
      </w:pPr>
      <w:r>
        <w:rPr>
          <w:rFonts w:ascii="仿宋" w:hAnsi="仿宋" w:eastAsia="仿宋"/>
          <w:b/>
          <w:bCs/>
          <w:color w:val="auto"/>
          <w:sz w:val="28"/>
          <w:szCs w:val="28"/>
        </w:rPr>
        <w:t>2.</w:t>
      </w:r>
      <w:r>
        <w:rPr>
          <w:rFonts w:hint="eastAsia" w:ascii="仿宋" w:hAnsi="仿宋" w:eastAsia="仿宋"/>
          <w:b/>
          <w:bCs/>
          <w:color w:val="auto"/>
          <w:sz w:val="28"/>
          <w:szCs w:val="28"/>
        </w:rPr>
        <w:t>总图及场区工程以及建筑</w:t>
      </w:r>
      <w:r>
        <w:rPr>
          <w:rFonts w:ascii="仿宋" w:hAnsi="仿宋" w:eastAsia="仿宋"/>
          <w:b/>
          <w:bCs/>
          <w:color w:val="auto"/>
          <w:sz w:val="28"/>
          <w:szCs w:val="28"/>
        </w:rPr>
        <w:t>、</w:t>
      </w:r>
      <w:r>
        <w:rPr>
          <w:rFonts w:hint="eastAsia" w:ascii="仿宋" w:hAnsi="仿宋" w:eastAsia="仿宋"/>
          <w:b/>
          <w:bCs/>
          <w:color w:val="auto"/>
          <w:sz w:val="28"/>
          <w:szCs w:val="28"/>
        </w:rPr>
        <w:t>结构</w:t>
      </w:r>
      <w:r>
        <w:rPr>
          <w:rFonts w:ascii="仿宋" w:hAnsi="仿宋" w:eastAsia="仿宋"/>
          <w:b/>
          <w:bCs/>
          <w:color w:val="auto"/>
          <w:sz w:val="28"/>
          <w:szCs w:val="28"/>
        </w:rPr>
        <w:t>、</w:t>
      </w:r>
      <w:r>
        <w:rPr>
          <w:rFonts w:hint="eastAsia" w:ascii="仿宋" w:hAnsi="仿宋" w:eastAsia="仿宋"/>
          <w:b/>
          <w:bCs/>
          <w:color w:val="auto"/>
          <w:sz w:val="28"/>
          <w:szCs w:val="28"/>
        </w:rPr>
        <w:t>给排水（含户内）</w:t>
      </w:r>
      <w:r>
        <w:rPr>
          <w:rFonts w:ascii="仿宋" w:hAnsi="仿宋" w:eastAsia="仿宋"/>
          <w:b/>
          <w:bCs/>
          <w:color w:val="auto"/>
          <w:sz w:val="28"/>
          <w:szCs w:val="28"/>
        </w:rPr>
        <w:t>、</w:t>
      </w:r>
      <w:r>
        <w:rPr>
          <w:rFonts w:hint="eastAsia" w:ascii="仿宋" w:hAnsi="仿宋" w:eastAsia="仿宋"/>
          <w:b/>
          <w:bCs/>
          <w:color w:val="auto"/>
          <w:sz w:val="28"/>
          <w:szCs w:val="28"/>
        </w:rPr>
        <w:t>节能</w:t>
      </w:r>
      <w:r>
        <w:rPr>
          <w:rFonts w:ascii="仿宋" w:hAnsi="仿宋" w:eastAsia="仿宋"/>
          <w:b/>
          <w:bCs/>
          <w:color w:val="auto"/>
          <w:sz w:val="28"/>
          <w:szCs w:val="28"/>
        </w:rPr>
        <w:t>、</w:t>
      </w:r>
      <w:r>
        <w:rPr>
          <w:rFonts w:hint="eastAsia" w:ascii="仿宋" w:hAnsi="仿宋" w:eastAsia="仿宋"/>
          <w:b/>
          <w:bCs/>
          <w:color w:val="auto"/>
          <w:sz w:val="28"/>
          <w:szCs w:val="28"/>
        </w:rPr>
        <w:t>电气（含户内）</w:t>
      </w:r>
      <w:r>
        <w:rPr>
          <w:rFonts w:ascii="仿宋" w:hAnsi="仿宋" w:eastAsia="仿宋"/>
          <w:b/>
          <w:bCs/>
          <w:color w:val="auto"/>
          <w:sz w:val="28"/>
          <w:szCs w:val="28"/>
        </w:rPr>
        <w:t>、</w:t>
      </w:r>
      <w:r>
        <w:rPr>
          <w:rFonts w:hint="eastAsia" w:ascii="仿宋" w:hAnsi="仿宋" w:eastAsia="仿宋"/>
          <w:b/>
          <w:bCs/>
          <w:color w:val="auto"/>
          <w:sz w:val="28"/>
          <w:szCs w:val="28"/>
        </w:rPr>
        <w:t>通风</w:t>
      </w:r>
      <w:r>
        <w:rPr>
          <w:rFonts w:ascii="仿宋" w:hAnsi="仿宋" w:eastAsia="仿宋"/>
          <w:b/>
          <w:bCs/>
          <w:color w:val="auto"/>
          <w:sz w:val="28"/>
          <w:szCs w:val="28"/>
        </w:rPr>
        <w:t>、</w:t>
      </w:r>
      <w:r>
        <w:rPr>
          <w:rFonts w:hint="eastAsia" w:ascii="仿宋" w:hAnsi="仿宋" w:eastAsia="仿宋"/>
          <w:b/>
          <w:bCs/>
          <w:color w:val="auto"/>
          <w:sz w:val="28"/>
          <w:szCs w:val="28"/>
        </w:rPr>
        <w:t>综合网管设计；</w:t>
      </w:r>
    </w:p>
    <w:p>
      <w:pPr>
        <w:spacing w:after="0" w:line="500" w:lineRule="exact"/>
        <w:ind w:firstLine="562" w:firstLineChars="200"/>
        <w:rPr>
          <w:rFonts w:ascii="仿宋" w:hAnsi="仿宋" w:eastAsia="仿宋"/>
          <w:b/>
          <w:bCs/>
          <w:color w:val="auto"/>
          <w:sz w:val="28"/>
          <w:szCs w:val="28"/>
        </w:rPr>
      </w:pPr>
      <w:r>
        <w:rPr>
          <w:rFonts w:hint="eastAsia" w:ascii="仿宋" w:hAnsi="仿宋" w:eastAsia="仿宋"/>
          <w:b/>
          <w:bCs/>
          <w:color w:val="auto"/>
          <w:sz w:val="28"/>
          <w:szCs w:val="28"/>
        </w:rPr>
        <w:t>3.设备：供电</w:t>
      </w:r>
      <w:r>
        <w:rPr>
          <w:rFonts w:ascii="仿宋" w:hAnsi="仿宋" w:eastAsia="仿宋"/>
          <w:b/>
          <w:bCs/>
          <w:color w:val="auto"/>
          <w:sz w:val="28"/>
          <w:szCs w:val="28"/>
        </w:rPr>
        <w:t>、</w:t>
      </w:r>
      <w:r>
        <w:rPr>
          <w:rFonts w:hint="eastAsia" w:ascii="仿宋" w:hAnsi="仿宋" w:eastAsia="仿宋"/>
          <w:b/>
          <w:bCs/>
          <w:color w:val="auto"/>
          <w:sz w:val="28"/>
          <w:szCs w:val="28"/>
        </w:rPr>
        <w:t>电讯</w:t>
      </w:r>
      <w:r>
        <w:rPr>
          <w:rFonts w:ascii="仿宋" w:hAnsi="仿宋" w:eastAsia="仿宋"/>
          <w:b/>
          <w:bCs/>
          <w:color w:val="auto"/>
          <w:sz w:val="28"/>
          <w:szCs w:val="28"/>
        </w:rPr>
        <w:t>、</w:t>
      </w:r>
      <w:r>
        <w:rPr>
          <w:rFonts w:hint="eastAsia" w:ascii="仿宋" w:hAnsi="仿宋" w:eastAsia="仿宋"/>
          <w:b/>
          <w:bCs/>
          <w:color w:val="auto"/>
          <w:sz w:val="28"/>
          <w:szCs w:val="28"/>
        </w:rPr>
        <w:t>通风</w:t>
      </w:r>
      <w:r>
        <w:rPr>
          <w:rFonts w:ascii="仿宋" w:hAnsi="仿宋" w:eastAsia="仿宋"/>
          <w:b/>
          <w:bCs/>
          <w:color w:val="auto"/>
          <w:sz w:val="28"/>
          <w:szCs w:val="28"/>
        </w:rPr>
        <w:t>、</w:t>
      </w:r>
      <w:r>
        <w:rPr>
          <w:rFonts w:hint="eastAsia" w:ascii="仿宋" w:hAnsi="仿宋" w:eastAsia="仿宋"/>
          <w:b/>
          <w:bCs/>
          <w:color w:val="auto"/>
          <w:sz w:val="28"/>
          <w:szCs w:val="28"/>
        </w:rPr>
        <w:t>共用天线或有限电视</w:t>
      </w:r>
      <w:r>
        <w:rPr>
          <w:rFonts w:ascii="仿宋" w:hAnsi="仿宋" w:eastAsia="仿宋"/>
          <w:b/>
          <w:bCs/>
          <w:color w:val="auto"/>
          <w:sz w:val="28"/>
          <w:szCs w:val="28"/>
        </w:rPr>
        <w:t>、</w:t>
      </w:r>
      <w:r>
        <w:rPr>
          <w:rFonts w:hint="eastAsia" w:ascii="仿宋" w:hAnsi="仿宋" w:eastAsia="仿宋"/>
          <w:b/>
          <w:bCs/>
          <w:color w:val="auto"/>
          <w:sz w:val="28"/>
          <w:szCs w:val="28"/>
        </w:rPr>
        <w:t>消防</w:t>
      </w:r>
      <w:r>
        <w:rPr>
          <w:rFonts w:ascii="仿宋" w:hAnsi="仿宋" w:eastAsia="仿宋"/>
          <w:b/>
          <w:bCs/>
          <w:color w:val="auto"/>
          <w:sz w:val="28"/>
          <w:szCs w:val="28"/>
        </w:rPr>
        <w:t>、</w:t>
      </w:r>
      <w:r>
        <w:rPr>
          <w:rFonts w:hint="eastAsia" w:ascii="仿宋" w:hAnsi="仿宋" w:eastAsia="仿宋"/>
          <w:b/>
          <w:bCs/>
          <w:color w:val="auto"/>
          <w:sz w:val="28"/>
          <w:szCs w:val="28"/>
        </w:rPr>
        <w:t>电梯及复核电梯参数资料并对资料负责</w:t>
      </w:r>
      <w:r>
        <w:rPr>
          <w:rFonts w:ascii="仿宋" w:hAnsi="仿宋" w:eastAsia="仿宋"/>
          <w:b/>
          <w:bCs/>
          <w:color w:val="auto"/>
          <w:sz w:val="28"/>
          <w:szCs w:val="28"/>
        </w:rPr>
        <w:t>、</w:t>
      </w:r>
      <w:r>
        <w:rPr>
          <w:rFonts w:hint="eastAsia" w:ascii="仿宋" w:hAnsi="仿宋" w:eastAsia="仿宋"/>
          <w:b/>
          <w:bCs/>
          <w:color w:val="auto"/>
          <w:sz w:val="28"/>
          <w:szCs w:val="28"/>
        </w:rPr>
        <w:t>给水</w:t>
      </w:r>
      <w:r>
        <w:rPr>
          <w:rFonts w:ascii="仿宋" w:hAnsi="仿宋" w:eastAsia="仿宋"/>
          <w:b/>
          <w:bCs/>
          <w:color w:val="auto"/>
          <w:sz w:val="28"/>
          <w:szCs w:val="28"/>
        </w:rPr>
        <w:t>、</w:t>
      </w:r>
      <w:r>
        <w:rPr>
          <w:rFonts w:hint="eastAsia" w:ascii="仿宋" w:hAnsi="仿宋" w:eastAsia="仿宋"/>
          <w:b/>
          <w:bCs/>
          <w:color w:val="auto"/>
          <w:sz w:val="28"/>
          <w:szCs w:val="28"/>
        </w:rPr>
        <w:t>排水</w:t>
      </w:r>
      <w:r>
        <w:rPr>
          <w:rFonts w:ascii="仿宋" w:hAnsi="仿宋" w:eastAsia="仿宋"/>
          <w:b/>
          <w:bCs/>
          <w:color w:val="auto"/>
          <w:sz w:val="28"/>
          <w:szCs w:val="28"/>
        </w:rPr>
        <w:t>、</w:t>
      </w:r>
      <w:r>
        <w:rPr>
          <w:rFonts w:hint="eastAsia" w:ascii="仿宋" w:hAnsi="仿宋" w:eastAsia="仿宋"/>
          <w:b/>
          <w:bCs/>
          <w:color w:val="auto"/>
          <w:sz w:val="28"/>
          <w:szCs w:val="28"/>
        </w:rPr>
        <w:t>排污及相应的与土建结合的预埋件设计；</w:t>
      </w:r>
    </w:p>
    <w:p>
      <w:pPr>
        <w:spacing w:after="0" w:line="500" w:lineRule="exact"/>
        <w:ind w:firstLine="562" w:firstLineChars="200"/>
        <w:rPr>
          <w:rFonts w:ascii="仿宋" w:hAnsi="仿宋" w:eastAsia="仿宋"/>
          <w:b/>
          <w:bCs/>
          <w:color w:val="auto"/>
          <w:sz w:val="28"/>
          <w:szCs w:val="28"/>
        </w:rPr>
      </w:pPr>
      <w:r>
        <w:rPr>
          <w:rFonts w:hint="eastAsia" w:ascii="仿宋" w:hAnsi="仿宋" w:eastAsia="仿宋"/>
          <w:b/>
          <w:bCs/>
          <w:color w:val="auto"/>
          <w:sz w:val="28"/>
          <w:szCs w:val="28"/>
        </w:rPr>
        <w:t>4.用地范围内的建筑及设备专业总图：环境设计的设备专业配合</w:t>
      </w:r>
      <w:r>
        <w:rPr>
          <w:rFonts w:ascii="仿宋" w:hAnsi="仿宋" w:eastAsia="仿宋"/>
          <w:b/>
          <w:bCs/>
          <w:color w:val="auto"/>
          <w:sz w:val="28"/>
          <w:szCs w:val="28"/>
        </w:rPr>
        <w:t>、</w:t>
      </w:r>
      <w:r>
        <w:rPr>
          <w:rFonts w:hint="eastAsia" w:ascii="仿宋" w:hAnsi="仿宋" w:eastAsia="仿宋"/>
          <w:b/>
          <w:bCs/>
          <w:color w:val="auto"/>
          <w:sz w:val="28"/>
          <w:szCs w:val="28"/>
        </w:rPr>
        <w:t>与市政管网的接驳设计；且在总图中需明确用地范围内各管线与市政管线的关系；</w:t>
      </w:r>
    </w:p>
    <w:p>
      <w:pPr>
        <w:spacing w:after="0" w:line="500" w:lineRule="exact"/>
        <w:ind w:firstLine="562" w:firstLineChars="200"/>
        <w:rPr>
          <w:rFonts w:hint="eastAsia" w:ascii="仿宋" w:hAnsi="仿宋" w:eastAsia="仿宋"/>
          <w:b/>
          <w:bCs/>
          <w:color w:val="auto"/>
          <w:sz w:val="28"/>
          <w:szCs w:val="28"/>
        </w:rPr>
      </w:pPr>
      <w:r>
        <w:rPr>
          <w:rFonts w:hint="eastAsia" w:ascii="仿宋" w:hAnsi="仿宋" w:eastAsia="仿宋"/>
          <w:b/>
          <w:bCs/>
          <w:color w:val="auto"/>
          <w:sz w:val="28"/>
          <w:szCs w:val="28"/>
        </w:rPr>
        <w:t>5.门窗</w:t>
      </w:r>
      <w:r>
        <w:rPr>
          <w:rFonts w:ascii="仿宋" w:hAnsi="仿宋" w:eastAsia="仿宋"/>
          <w:b/>
          <w:bCs/>
          <w:color w:val="auto"/>
          <w:sz w:val="28"/>
          <w:szCs w:val="28"/>
        </w:rPr>
        <w:t>、</w:t>
      </w:r>
      <w:r>
        <w:rPr>
          <w:rFonts w:hint="eastAsia" w:ascii="仿宋" w:hAnsi="仿宋" w:eastAsia="仿宋"/>
          <w:b/>
          <w:bCs/>
          <w:color w:val="auto"/>
          <w:sz w:val="28"/>
          <w:szCs w:val="28"/>
        </w:rPr>
        <w:t>幕墙</w:t>
      </w:r>
      <w:r>
        <w:rPr>
          <w:rFonts w:ascii="仿宋" w:hAnsi="仿宋" w:eastAsia="仿宋"/>
          <w:b/>
          <w:bCs/>
          <w:color w:val="auto"/>
          <w:sz w:val="28"/>
          <w:szCs w:val="28"/>
        </w:rPr>
        <w:t>、</w:t>
      </w:r>
      <w:r>
        <w:rPr>
          <w:rFonts w:hint="eastAsia" w:ascii="仿宋" w:hAnsi="仿宋" w:eastAsia="仿宋"/>
          <w:b/>
          <w:bCs/>
          <w:color w:val="auto"/>
          <w:sz w:val="28"/>
          <w:szCs w:val="28"/>
        </w:rPr>
        <w:t>栏杆</w:t>
      </w:r>
      <w:r>
        <w:rPr>
          <w:rFonts w:ascii="仿宋" w:hAnsi="仿宋" w:eastAsia="仿宋"/>
          <w:b/>
          <w:bCs/>
          <w:color w:val="auto"/>
          <w:sz w:val="28"/>
          <w:szCs w:val="28"/>
        </w:rPr>
        <w:t>、</w:t>
      </w:r>
      <w:r>
        <w:rPr>
          <w:rFonts w:hint="eastAsia" w:ascii="仿宋" w:hAnsi="仿宋" w:eastAsia="仿宋"/>
          <w:b/>
          <w:bCs/>
          <w:color w:val="auto"/>
          <w:sz w:val="28"/>
          <w:szCs w:val="28"/>
        </w:rPr>
        <w:t>外挂石材</w:t>
      </w:r>
      <w:r>
        <w:rPr>
          <w:rFonts w:ascii="仿宋" w:hAnsi="仿宋" w:eastAsia="仿宋"/>
          <w:b/>
          <w:bCs/>
          <w:color w:val="auto"/>
          <w:sz w:val="28"/>
          <w:szCs w:val="28"/>
        </w:rPr>
        <w:t>、</w:t>
      </w:r>
      <w:r>
        <w:rPr>
          <w:rFonts w:hint="eastAsia" w:ascii="仿宋" w:hAnsi="仿宋" w:eastAsia="仿宋"/>
          <w:b/>
          <w:bCs/>
          <w:color w:val="auto"/>
          <w:sz w:val="28"/>
          <w:szCs w:val="28"/>
        </w:rPr>
        <w:t>钢结构构架</w:t>
      </w:r>
      <w:r>
        <w:rPr>
          <w:rFonts w:ascii="仿宋" w:hAnsi="仿宋" w:eastAsia="仿宋"/>
          <w:b/>
          <w:bCs/>
          <w:color w:val="auto"/>
          <w:sz w:val="28"/>
          <w:szCs w:val="28"/>
        </w:rPr>
        <w:t>、</w:t>
      </w:r>
      <w:r>
        <w:rPr>
          <w:rFonts w:hint="eastAsia" w:ascii="仿宋" w:hAnsi="仿宋" w:eastAsia="仿宋"/>
          <w:b/>
          <w:bCs/>
          <w:color w:val="auto"/>
          <w:sz w:val="28"/>
          <w:szCs w:val="28"/>
        </w:rPr>
        <w:t>建筑节能</w:t>
      </w:r>
      <w:r>
        <w:rPr>
          <w:rFonts w:ascii="仿宋" w:hAnsi="仿宋" w:eastAsia="仿宋"/>
          <w:b/>
          <w:bCs/>
          <w:color w:val="auto"/>
          <w:sz w:val="28"/>
          <w:szCs w:val="28"/>
        </w:rPr>
        <w:t>、</w:t>
      </w:r>
      <w:r>
        <w:rPr>
          <w:rFonts w:hint="eastAsia" w:ascii="仿宋" w:hAnsi="仿宋" w:eastAsia="仿宋"/>
          <w:b/>
          <w:bCs/>
          <w:color w:val="auto"/>
          <w:sz w:val="28"/>
          <w:szCs w:val="28"/>
        </w:rPr>
        <w:t>智能化设计</w:t>
      </w:r>
      <w:r>
        <w:rPr>
          <w:rFonts w:ascii="仿宋" w:hAnsi="仿宋" w:eastAsia="仿宋"/>
          <w:b/>
          <w:bCs/>
          <w:color w:val="auto"/>
          <w:sz w:val="28"/>
          <w:szCs w:val="28"/>
        </w:rPr>
        <w:t>、</w:t>
      </w:r>
      <w:r>
        <w:rPr>
          <w:rFonts w:hint="eastAsia" w:ascii="仿宋" w:hAnsi="仿宋" w:eastAsia="仿宋"/>
          <w:b/>
          <w:bCs/>
          <w:color w:val="auto"/>
          <w:sz w:val="28"/>
          <w:szCs w:val="28"/>
        </w:rPr>
        <w:t>综合网管等由甲方委托其他单位设计或由相关专业公司设计安装时，乙方需复核审核</w:t>
      </w:r>
      <w:r>
        <w:rPr>
          <w:rFonts w:ascii="仿宋" w:hAnsi="仿宋" w:eastAsia="仿宋"/>
          <w:b/>
          <w:bCs/>
          <w:color w:val="auto"/>
          <w:sz w:val="28"/>
          <w:szCs w:val="28"/>
        </w:rPr>
        <w:t>、</w:t>
      </w:r>
      <w:r>
        <w:rPr>
          <w:rFonts w:hint="eastAsia" w:ascii="仿宋" w:hAnsi="仿宋" w:eastAsia="仿宋"/>
          <w:b/>
          <w:bCs/>
          <w:color w:val="auto"/>
          <w:sz w:val="28"/>
          <w:szCs w:val="28"/>
        </w:rPr>
        <w:t>加盖审图章或出图章并确保满足规范，不再另收费；</w:t>
      </w:r>
    </w:p>
    <w:p>
      <w:pPr>
        <w:numPr>
          <w:ilvl w:val="0"/>
          <w:numId w:val="4"/>
        </w:numPr>
        <w:autoSpaceDE w:val="0"/>
        <w:autoSpaceDN w:val="0"/>
        <w:adjustRightInd w:val="0"/>
        <w:jc w:val="both"/>
        <w:outlineLvl w:val="0"/>
        <w:rPr>
          <w:rFonts w:hint="eastAsia" w:ascii="仿宋" w:hAnsi="仿宋" w:eastAsia="仿宋"/>
          <w:b/>
          <w:color w:val="auto"/>
          <w:sz w:val="28"/>
          <w:szCs w:val="28"/>
        </w:rPr>
      </w:pPr>
      <w:r>
        <w:rPr>
          <w:rFonts w:hint="eastAsia" w:ascii="仿宋" w:hAnsi="仿宋" w:eastAsia="仿宋"/>
          <w:b/>
          <w:color w:val="auto"/>
          <w:sz w:val="28"/>
          <w:szCs w:val="28"/>
        </w:rPr>
        <w:t>委托项目设计单位报价形式：</w:t>
      </w:r>
    </w:p>
    <w:p>
      <w:pPr>
        <w:numPr>
          <w:ilvl w:val="0"/>
          <w:numId w:val="0"/>
        </w:numPr>
        <w:autoSpaceDE w:val="0"/>
        <w:autoSpaceDN w:val="0"/>
        <w:adjustRightInd w:val="0"/>
        <w:jc w:val="both"/>
        <w:outlineLvl w:val="0"/>
        <w:rPr>
          <w:rFonts w:hint="eastAsia" w:ascii="仿宋" w:hAnsi="仿宋" w:eastAsia="仿宋"/>
          <w:b/>
          <w:color w:val="auto"/>
          <w:sz w:val="28"/>
          <w:szCs w:val="28"/>
          <w:lang w:eastAsia="zh-CN"/>
        </w:rPr>
      </w:pPr>
      <w:r>
        <w:rPr>
          <w:rFonts w:hint="eastAsia" w:ascii="仿宋" w:hAnsi="仿宋" w:eastAsia="仿宋"/>
          <w:b/>
          <w:color w:val="auto"/>
          <w:sz w:val="28"/>
          <w:szCs w:val="28"/>
        </w:rPr>
        <w:t>请各单位分别以方案、初步设计、施工图分别报价，设计费以最终建筑面积为</w:t>
      </w:r>
      <w:bookmarkEnd w:id="49"/>
      <w:r>
        <w:rPr>
          <w:rFonts w:hint="eastAsia" w:ascii="仿宋" w:hAnsi="仿宋" w:eastAsia="仿宋"/>
          <w:b/>
          <w:color w:val="auto"/>
          <w:sz w:val="28"/>
          <w:szCs w:val="28"/>
          <w:lang w:eastAsia="zh-CN"/>
        </w:rPr>
        <w:t>准。</w:t>
      </w:r>
    </w:p>
    <w:p>
      <w:pPr>
        <w:numPr>
          <w:ilvl w:val="0"/>
          <w:numId w:val="0"/>
        </w:numPr>
        <w:autoSpaceDE w:val="0"/>
        <w:autoSpaceDN w:val="0"/>
        <w:adjustRightInd w:val="0"/>
        <w:jc w:val="both"/>
        <w:outlineLvl w:val="0"/>
        <w:rPr>
          <w:rFonts w:hint="eastAsia" w:ascii="仿宋" w:hAnsi="仿宋" w:eastAsia="仿宋"/>
          <w:b/>
          <w:color w:val="auto"/>
          <w:sz w:val="28"/>
          <w:szCs w:val="28"/>
          <w:lang w:val="en-US" w:eastAsia="zh-CN"/>
        </w:rPr>
        <w:sectPr>
          <w:headerReference r:id="rId11" w:type="first"/>
          <w:footerReference r:id="rId13" w:type="first"/>
          <w:headerReference r:id="rId10" w:type="default"/>
          <w:footerReference r:id="rId12" w:type="default"/>
          <w:pgSz w:w="11906" w:h="16838"/>
          <w:pgMar w:top="1440" w:right="1416" w:bottom="1440" w:left="1134" w:header="851" w:footer="680" w:gutter="0"/>
          <w:pgNumType w:fmt="decimal"/>
          <w:cols w:space="425" w:num="1"/>
          <w:titlePg/>
          <w:docGrid w:type="lines" w:linePitch="312" w:charSpace="0"/>
        </w:sect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r>
        <w:rPr>
          <w:rFonts w:hint="eastAsia" w:ascii="仿宋" w:hAnsi="仿宋" w:eastAsia="仿宋"/>
          <w:b/>
          <w:bCs/>
          <w:color w:val="auto"/>
          <w:sz w:val="21"/>
          <w:szCs w:val="21"/>
        </w:rPr>
        <w:t>此封面应作为响应文件封面并由参与人自行填写</w:t>
      </w: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44"/>
          <w:szCs w:val="44"/>
          <w:lang w:eastAsia="zh-CN"/>
        </w:rPr>
      </w:pPr>
      <w:r>
        <w:rPr>
          <w:rFonts w:hint="eastAsia" w:ascii="仿宋" w:hAnsi="仿宋" w:eastAsia="仿宋" w:cs="仿宋"/>
          <w:b/>
          <w:color w:val="auto"/>
          <w:sz w:val="44"/>
          <w:szCs w:val="44"/>
          <w:lang w:eastAsia="zh-CN"/>
        </w:rPr>
        <w:t>郑州城轨交通中等专业学校</w:t>
      </w:r>
    </w:p>
    <w:p>
      <w:pPr>
        <w:spacing w:line="1000" w:lineRule="exact"/>
        <w:jc w:val="center"/>
        <w:rPr>
          <w:rFonts w:hint="eastAsia" w:ascii="仿宋" w:hAnsi="仿宋" w:eastAsia="仿宋" w:cs="仿宋"/>
          <w:b/>
          <w:color w:val="auto"/>
          <w:sz w:val="44"/>
          <w:szCs w:val="44"/>
          <w:lang w:eastAsia="zh-CN"/>
        </w:rPr>
      </w:pPr>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北区及走马岗规划设计服务</w:t>
      </w:r>
    </w:p>
    <w:p>
      <w:pPr>
        <w:spacing w:line="1000" w:lineRule="exact"/>
        <w:jc w:val="center"/>
        <w:rPr>
          <w:rFonts w:hint="eastAsia" w:ascii="仿宋" w:hAnsi="仿宋" w:eastAsia="仿宋" w:cs="仿宋"/>
          <w:b/>
          <w:color w:val="auto"/>
          <w:sz w:val="44"/>
          <w:szCs w:val="44"/>
          <w:lang w:eastAsia="zh-CN"/>
        </w:rPr>
      </w:pP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件</w:t>
      </w:r>
    </w:p>
    <w:p>
      <w:pPr>
        <w:spacing w:line="580" w:lineRule="exact"/>
        <w:jc w:val="center"/>
        <w:rPr>
          <w:rFonts w:hint="eastAsia" w:ascii="仿宋" w:hAnsi="仿宋" w:eastAsia="仿宋" w:cs="仿宋"/>
          <w:b/>
          <w:color w:val="auto"/>
          <w:sz w:val="72"/>
          <w:szCs w:val="72"/>
        </w:rPr>
      </w:pPr>
    </w:p>
    <w:p>
      <w:pPr>
        <w:spacing w:line="580" w:lineRule="exact"/>
        <w:jc w:val="center"/>
        <w:rPr>
          <w:rFonts w:hint="eastAsia" w:ascii="仿宋" w:hAnsi="仿宋" w:eastAsia="仿宋" w:cs="仿宋"/>
          <w:b/>
          <w:color w:val="auto"/>
          <w:sz w:val="72"/>
          <w:szCs w:val="72"/>
        </w:rPr>
      </w:pP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pPr>
      <w:r>
        <w:rPr>
          <w:rFonts w:hint="eastAsia" w:ascii="仿宋" w:hAnsi="仿宋" w:eastAsia="仿宋" w:cs="仿宋"/>
          <w:b/>
          <w:bCs/>
          <w:color w:val="auto"/>
          <w:sz w:val="30"/>
          <w:szCs w:val="30"/>
        </w:rPr>
        <w:t>此封面应作为报价响应文件封面</w:t>
      </w:r>
    </w:p>
    <w:p>
      <w:pPr>
        <w:rPr>
          <w:rFonts w:hint="eastAsia" w:ascii="仿宋" w:hAnsi="仿宋" w:eastAsia="仿宋" w:cs="仿宋"/>
          <w:b/>
          <w:bCs/>
          <w:color w:val="auto"/>
          <w:sz w:val="30"/>
          <w:szCs w:val="30"/>
        </w:rPr>
        <w:sectPr>
          <w:headerReference r:id="rId15" w:type="first"/>
          <w:headerReference r:id="rId14" w:type="default"/>
          <w:footerReference r:id="rId16"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191802690"/>
      <w:bookmarkStart w:id="51" w:name="_Toc182372782"/>
      <w:bookmarkStart w:id="52" w:name="_Toc191783222"/>
      <w:bookmarkStart w:id="53" w:name="_Toc191789329"/>
      <w:bookmarkStart w:id="54" w:name="_Toc182805217"/>
      <w:bookmarkStart w:id="55" w:name="_Toc193160448"/>
      <w:bookmarkStart w:id="56" w:name="_Toc193165734"/>
      <w:bookmarkStart w:id="57" w:name="_Toc211917116"/>
      <w:bookmarkStart w:id="58" w:name="_Toc180302913"/>
      <w:bookmarkStart w:id="59" w:name="_Toc170798793"/>
      <w:bookmarkStart w:id="60" w:name="_Toc181436461"/>
      <w:bookmarkStart w:id="61" w:name="_Toc181436565"/>
      <w:bookmarkStart w:id="62" w:name="_Toc177985469"/>
      <w:bookmarkStart w:id="63" w:name="_Toc203355733"/>
      <w:bookmarkStart w:id="64" w:name="_Toc191803626"/>
      <w:bookmarkStart w:id="65" w:name="_Toc192663686"/>
      <w:bookmarkStart w:id="66" w:name="_Toc192663835"/>
      <w:bookmarkStart w:id="67" w:name="_Toc213755858"/>
      <w:bookmarkStart w:id="68" w:name="_Toc192996446"/>
      <w:bookmarkStart w:id="69" w:name="_Toc192996338"/>
      <w:bookmarkStart w:id="70" w:name="_Toc192664153"/>
      <w:bookmarkStart w:id="71" w:name="_Toc160880160"/>
      <w:bookmarkStart w:id="72" w:name="_Toc160880529"/>
      <w:bookmarkStart w:id="73" w:name="_Toc169332838"/>
      <w:bookmarkStart w:id="74" w:name="_Toc169332949"/>
      <w:bookmarkStart w:id="75" w:name="_Toc213208766"/>
      <w:bookmarkStart w:id="76" w:name="_Toc213755939"/>
      <w:bookmarkStart w:id="77" w:name="_Toc213755995"/>
      <w:bookmarkStart w:id="78" w:name="_Toc213756051"/>
      <w:bookmarkStart w:id="79" w:name="_Toc217891402"/>
      <w:bookmarkStart w:id="80" w:name="_Toc219800243"/>
      <w:bookmarkStart w:id="81" w:name="_Toc223146608"/>
      <w:bookmarkStart w:id="82" w:name="_Toc225669322"/>
      <w:bookmarkStart w:id="83" w:name="_Toc227058530"/>
      <w:bookmarkStart w:id="84" w:name="_Toc230071147"/>
      <w:bookmarkStart w:id="85" w:name="_Toc232302115"/>
      <w:bookmarkStart w:id="86" w:name="_Toc235437991"/>
      <w:bookmarkStart w:id="87" w:name="_Toc235438274"/>
      <w:bookmarkStart w:id="88" w:name="_Toc235438344"/>
      <w:bookmarkStart w:id="89" w:name="_Toc236021449"/>
      <w:bookmarkStart w:id="90" w:name="_Toc249325711"/>
      <w:bookmarkStart w:id="91" w:name="_Toc251586231"/>
      <w:bookmarkStart w:id="92" w:name="_Toc251613829"/>
      <w:bookmarkStart w:id="93" w:name="_Toc253066614"/>
      <w:bookmarkStart w:id="94" w:name="_Toc254790899"/>
      <w:bookmarkStart w:id="95" w:name="_Toc255975007"/>
      <w:bookmarkStart w:id="96" w:name="_Toc258401256"/>
      <w:bookmarkStart w:id="97" w:name="_Toc259520865"/>
      <w:bookmarkStart w:id="98" w:name="_Toc259692647"/>
      <w:bookmarkStart w:id="99" w:name="_Toc259692740"/>
      <w:bookmarkStart w:id="100" w:name="_Toc266868670"/>
      <w:bookmarkStart w:id="101" w:name="_Toc266868937"/>
      <w:bookmarkStart w:id="102" w:name="_Toc266870432"/>
      <w:bookmarkStart w:id="103" w:name="_Toc266870833"/>
      <w:bookmarkStart w:id="104" w:name="_Toc266870907"/>
      <w:bookmarkStart w:id="105" w:name="_Toc267059030"/>
      <w:bookmarkStart w:id="106" w:name="_Toc267059181"/>
      <w:bookmarkStart w:id="107" w:name="_Toc267059539"/>
      <w:bookmarkStart w:id="108" w:name="_Toc267059653"/>
      <w:bookmarkStart w:id="109" w:name="_Toc267059806"/>
      <w:bookmarkStart w:id="110" w:name="_Toc267059919"/>
      <w:bookmarkStart w:id="111" w:name="_Toc267060068"/>
      <w:bookmarkStart w:id="112" w:name="_Toc267060208"/>
      <w:bookmarkStart w:id="113" w:name="_Toc267060321"/>
      <w:bookmarkStart w:id="114" w:name="_Toc267060453"/>
      <w:bookmarkStart w:id="115" w:name="_Toc273178698"/>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 报价一览表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 分项报价表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0"/>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bookmarkStart w:id="116" w:name="_Toc230071153"/>
      <w:bookmarkStart w:id="117" w:name="_Toc203355738"/>
      <w:bookmarkStart w:id="118" w:name="_Toc213755864"/>
      <w:bookmarkStart w:id="119" w:name="_Toc211917121"/>
      <w:bookmarkStart w:id="120" w:name="_Toc213755945"/>
      <w:bookmarkStart w:id="121" w:name="_Toc213756001"/>
      <w:bookmarkStart w:id="122" w:name="_Toc213756057"/>
      <w:bookmarkStart w:id="123" w:name="_Toc217891408"/>
      <w:bookmarkStart w:id="124" w:name="_Toc219800249"/>
      <w:bookmarkStart w:id="125" w:name="_Toc223146614"/>
      <w:bookmarkStart w:id="126" w:name="_Toc225669328"/>
      <w:bookmarkStart w:id="127" w:name="_Toc227058536"/>
      <w:bookmarkStart w:id="128" w:name="_Toc235437998"/>
      <w:bookmarkStart w:id="129" w:name="_Toc232302122"/>
      <w:bookmarkStart w:id="130" w:name="_Toc193160453"/>
      <w:bookmarkStart w:id="131" w:name="_Toc192996451"/>
      <w:bookmarkStart w:id="132" w:name="_Toc192664158"/>
      <w:bookmarkStart w:id="133" w:name="_Toc253066624"/>
      <w:bookmarkStart w:id="134" w:name="_Toc192996343"/>
      <w:bookmarkStart w:id="135" w:name="_Toc192663840"/>
      <w:bookmarkStart w:id="136" w:name="_Toc192663691"/>
      <w:bookmarkStart w:id="137" w:name="_Toc191803631"/>
      <w:bookmarkStart w:id="138" w:name="_Toc191802695"/>
      <w:bookmarkStart w:id="139" w:name="_Toc191789334"/>
      <w:bookmarkStart w:id="140" w:name="_Toc191783227"/>
      <w:bookmarkStart w:id="141" w:name="_Toc182805222"/>
      <w:bookmarkStart w:id="142" w:name="_Toc182372787"/>
      <w:bookmarkStart w:id="143" w:name="_Toc177985474"/>
      <w:bookmarkStart w:id="144" w:name="_Toc181436570"/>
      <w:bookmarkStart w:id="145" w:name="_Toc181436466"/>
      <w:bookmarkStart w:id="146" w:name="_Toc180302918"/>
      <w:bookmarkStart w:id="147" w:name="_Toc251613839"/>
      <w:bookmarkStart w:id="148" w:name="_Toc170798798"/>
      <w:bookmarkStart w:id="149" w:name="_Toc169332954"/>
      <w:bookmarkStart w:id="150" w:name="_Toc169332843"/>
      <w:bookmarkStart w:id="151" w:name="_Toc160880534"/>
      <w:bookmarkStart w:id="152" w:name="_Toc193165739"/>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8401265"/>
      <w:bookmarkStart w:id="160" w:name="_Toc255975016"/>
      <w:bookmarkStart w:id="161" w:name="_Toc254790909"/>
      <w:bookmarkStart w:id="162" w:name="_Toc251586241"/>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r>
        <w:rPr>
          <w:rFonts w:hint="eastAsia" w:ascii="仿宋" w:hAnsi="仿宋" w:eastAsia="仿宋"/>
          <w:b/>
          <w:bCs/>
          <w:color w:val="auto"/>
          <w:sz w:val="28"/>
          <w:szCs w:val="28"/>
        </w:rPr>
        <w:t>2、报价一览表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6"/>
        <w:tblW w:w="9046" w:type="dxa"/>
        <w:tblInd w:w="2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89"/>
        <w:gridCol w:w="2593"/>
        <w:gridCol w:w="2373"/>
        <w:gridCol w:w="259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489" w:type="dxa"/>
            <w:shd w:val="clear" w:color="auto" w:fill="D6DCE4" w:themeFill="text2" w:themeFillTint="33"/>
            <w:vAlign w:val="center"/>
          </w:tcPr>
          <w:p>
            <w:pPr>
              <w:spacing w:after="0"/>
              <w:jc w:val="center"/>
              <w:rPr>
                <w:rFonts w:ascii="仿宋" w:hAnsi="仿宋" w:eastAsia="仿宋"/>
                <w:color w:val="auto"/>
                <w:sz w:val="24"/>
              </w:rPr>
            </w:pPr>
            <w:r>
              <w:rPr>
                <w:rFonts w:hint="eastAsia" w:ascii="仿宋" w:hAnsi="仿宋" w:eastAsia="仿宋"/>
                <w:color w:val="auto"/>
                <w:sz w:val="24"/>
              </w:rPr>
              <w:t>序号</w:t>
            </w:r>
          </w:p>
        </w:tc>
        <w:tc>
          <w:tcPr>
            <w:tcW w:w="2593" w:type="dxa"/>
            <w:shd w:val="clear" w:color="auto" w:fill="D6DCE4" w:themeFill="text2" w:themeFillTint="33"/>
            <w:vAlign w:val="center"/>
          </w:tcPr>
          <w:p>
            <w:pPr>
              <w:spacing w:after="0"/>
              <w:jc w:val="center"/>
              <w:rPr>
                <w:rFonts w:ascii="仿宋" w:hAnsi="仿宋" w:eastAsia="仿宋"/>
                <w:color w:val="auto"/>
                <w:sz w:val="24"/>
              </w:rPr>
            </w:pPr>
            <w:r>
              <w:rPr>
                <w:rFonts w:hint="eastAsia" w:ascii="仿宋" w:hAnsi="仿宋" w:eastAsia="仿宋"/>
                <w:color w:val="auto"/>
                <w:sz w:val="24"/>
              </w:rPr>
              <w:t>服务项目</w:t>
            </w:r>
          </w:p>
        </w:tc>
        <w:tc>
          <w:tcPr>
            <w:tcW w:w="2373" w:type="dxa"/>
            <w:shd w:val="clear" w:color="auto" w:fill="D6DCE4" w:themeFill="text2" w:themeFillTint="33"/>
            <w:vAlign w:val="center"/>
          </w:tcPr>
          <w:p>
            <w:pPr>
              <w:spacing w:after="0"/>
              <w:jc w:val="center"/>
              <w:rPr>
                <w:rFonts w:ascii="仿宋" w:hAnsi="仿宋" w:eastAsia="仿宋"/>
                <w:color w:val="auto"/>
                <w:sz w:val="24"/>
              </w:rPr>
            </w:pPr>
            <w:r>
              <w:rPr>
                <w:rFonts w:ascii="仿宋" w:hAnsi="仿宋" w:eastAsia="仿宋"/>
                <w:color w:val="auto"/>
                <w:sz w:val="24"/>
              </w:rPr>
              <w:t>总报价</w:t>
            </w:r>
          </w:p>
        </w:tc>
        <w:tc>
          <w:tcPr>
            <w:tcW w:w="2591" w:type="dxa"/>
            <w:shd w:val="clear" w:color="auto" w:fill="D6DCE4" w:themeFill="text2" w:themeFillTint="33"/>
            <w:vAlign w:val="center"/>
          </w:tcPr>
          <w:p>
            <w:pPr>
              <w:spacing w:after="0"/>
              <w:jc w:val="center"/>
              <w:rPr>
                <w:rFonts w:ascii="仿宋" w:hAnsi="仿宋" w:eastAsia="仿宋"/>
                <w:color w:val="auto"/>
                <w:sz w:val="24"/>
              </w:rPr>
            </w:pPr>
            <w:r>
              <w:rPr>
                <w:rFonts w:ascii="仿宋" w:hAnsi="仿宋" w:eastAsia="仿宋"/>
                <w:color w:val="auto"/>
                <w:sz w:val="24"/>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1489" w:type="dxa"/>
            <w:vAlign w:val="center"/>
          </w:tcPr>
          <w:p>
            <w:pPr>
              <w:spacing w:after="0" w:line="360" w:lineRule="auto"/>
              <w:jc w:val="center"/>
              <w:rPr>
                <w:rFonts w:ascii="仿宋" w:hAnsi="仿宋" w:eastAsia="仿宋"/>
                <w:color w:val="auto"/>
                <w:sz w:val="24"/>
              </w:rPr>
            </w:pPr>
            <w:r>
              <w:rPr>
                <w:rFonts w:ascii="仿宋" w:hAnsi="仿宋" w:eastAsia="仿宋"/>
                <w:color w:val="auto"/>
                <w:sz w:val="24"/>
              </w:rPr>
              <w:t>1</w:t>
            </w:r>
          </w:p>
        </w:tc>
        <w:tc>
          <w:tcPr>
            <w:tcW w:w="2593" w:type="dxa"/>
            <w:vAlign w:val="center"/>
          </w:tcPr>
          <w:p>
            <w:pPr>
              <w:spacing w:after="0"/>
              <w:jc w:val="center"/>
              <w:rPr>
                <w:rFonts w:ascii="仿宋" w:hAnsi="仿宋" w:eastAsia="仿宋"/>
                <w:color w:val="auto"/>
                <w:sz w:val="24"/>
              </w:rPr>
            </w:pPr>
            <w:r>
              <w:rPr>
                <w:rFonts w:hint="eastAsia" w:ascii="仿宋" w:hAnsi="仿宋" w:eastAsia="仿宋"/>
                <w:color w:val="auto"/>
                <w:sz w:val="24"/>
              </w:rPr>
              <w:t>方案</w:t>
            </w:r>
          </w:p>
        </w:tc>
        <w:tc>
          <w:tcPr>
            <w:tcW w:w="2373" w:type="dxa"/>
            <w:vAlign w:val="center"/>
          </w:tcPr>
          <w:p>
            <w:pPr>
              <w:spacing w:after="0" w:line="360" w:lineRule="auto"/>
              <w:jc w:val="center"/>
              <w:rPr>
                <w:rFonts w:ascii="仿宋" w:hAnsi="仿宋" w:eastAsia="仿宋"/>
                <w:color w:val="auto"/>
                <w:sz w:val="24"/>
              </w:rPr>
            </w:pPr>
          </w:p>
        </w:tc>
        <w:tc>
          <w:tcPr>
            <w:tcW w:w="2591" w:type="dxa"/>
            <w:vAlign w:val="center"/>
          </w:tcPr>
          <w:p>
            <w:pPr>
              <w:spacing w:after="0" w:line="360" w:lineRule="auto"/>
              <w:jc w:val="center"/>
              <w:rPr>
                <w:rFonts w:hint="eastAsia" w:ascii="仿宋" w:hAnsi="仿宋" w:eastAsia="仿宋"/>
                <w:color w:val="auto"/>
                <w:sz w:val="24"/>
                <w:lang w:eastAsia="zh-CN"/>
              </w:rPr>
            </w:pPr>
            <w:r>
              <w:rPr>
                <w:rFonts w:hint="eastAsia" w:ascii="仿宋" w:hAnsi="仿宋" w:eastAsia="仿宋"/>
                <w:color w:val="auto"/>
                <w:sz w:val="24"/>
              </w:rPr>
              <w:t>含</w:t>
            </w:r>
            <w:r>
              <w:rPr>
                <w:rFonts w:hint="eastAsia" w:ascii="仿宋" w:hAnsi="仿宋" w:eastAsia="仿宋"/>
                <w:color w:val="auto"/>
                <w:sz w:val="24"/>
                <w:lang w:eastAsia="zh-CN"/>
              </w:rPr>
              <w:t>围墙、道路、标准体育场、篮球场、餐厅、教工宿舍、校园</w:t>
            </w:r>
            <w:r>
              <w:rPr>
                <w:rFonts w:hint="eastAsia" w:ascii="仿宋" w:hAnsi="仿宋" w:eastAsia="仿宋"/>
                <w:color w:val="auto"/>
                <w:sz w:val="24"/>
                <w:lang w:val="en-US" w:eastAsia="zh-CN"/>
              </w:rPr>
              <w:t>北区规划及校园整体</w:t>
            </w:r>
            <w:r>
              <w:rPr>
                <w:rFonts w:hint="eastAsia" w:ascii="仿宋" w:hAnsi="仿宋" w:eastAsia="仿宋"/>
                <w:color w:val="auto"/>
                <w:sz w:val="24"/>
                <w:lang w:eastAsia="zh-CN"/>
              </w:rPr>
              <w:t>总图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 w:hRule="atLeast"/>
        </w:trPr>
        <w:tc>
          <w:tcPr>
            <w:tcW w:w="1489" w:type="dxa"/>
            <w:vAlign w:val="center"/>
          </w:tcPr>
          <w:p>
            <w:pPr>
              <w:spacing w:after="0" w:line="360" w:lineRule="auto"/>
              <w:jc w:val="center"/>
              <w:rPr>
                <w:rFonts w:ascii="仿宋" w:hAnsi="仿宋" w:eastAsia="仿宋"/>
                <w:color w:val="auto"/>
                <w:sz w:val="24"/>
              </w:rPr>
            </w:pPr>
            <w:r>
              <w:rPr>
                <w:rFonts w:ascii="仿宋" w:hAnsi="仿宋" w:eastAsia="仿宋"/>
                <w:color w:val="auto"/>
                <w:sz w:val="24"/>
              </w:rPr>
              <w:t>2</w:t>
            </w:r>
          </w:p>
        </w:tc>
        <w:tc>
          <w:tcPr>
            <w:tcW w:w="2593" w:type="dxa"/>
            <w:vAlign w:val="center"/>
          </w:tcPr>
          <w:p>
            <w:pPr>
              <w:spacing w:after="0"/>
              <w:jc w:val="center"/>
              <w:rPr>
                <w:rFonts w:ascii="仿宋" w:hAnsi="仿宋" w:eastAsia="仿宋"/>
                <w:color w:val="auto"/>
                <w:sz w:val="24"/>
              </w:rPr>
            </w:pPr>
            <w:r>
              <w:rPr>
                <w:rFonts w:hint="eastAsia" w:ascii="仿宋" w:hAnsi="仿宋" w:eastAsia="仿宋"/>
                <w:color w:val="auto"/>
                <w:sz w:val="24"/>
              </w:rPr>
              <w:t>初步设计</w:t>
            </w:r>
          </w:p>
        </w:tc>
        <w:tc>
          <w:tcPr>
            <w:tcW w:w="2373" w:type="dxa"/>
            <w:vAlign w:val="center"/>
          </w:tcPr>
          <w:p>
            <w:pPr>
              <w:spacing w:after="0" w:line="360" w:lineRule="auto"/>
              <w:jc w:val="center"/>
              <w:rPr>
                <w:rFonts w:ascii="仿宋" w:hAnsi="仿宋" w:eastAsia="仿宋"/>
                <w:color w:val="auto"/>
                <w:sz w:val="24"/>
              </w:rPr>
            </w:pPr>
          </w:p>
        </w:tc>
        <w:tc>
          <w:tcPr>
            <w:tcW w:w="2591" w:type="dxa"/>
            <w:vAlign w:val="center"/>
          </w:tcPr>
          <w:p>
            <w:pPr>
              <w:spacing w:after="0" w:line="360" w:lineRule="auto"/>
              <w:jc w:val="center"/>
              <w:rPr>
                <w:rFonts w:ascii="仿宋" w:hAnsi="仿宋" w:eastAsia="仿宋"/>
                <w:color w:val="auto"/>
                <w:sz w:val="24"/>
              </w:rPr>
            </w:pPr>
            <w:r>
              <w:rPr>
                <w:rFonts w:hint="eastAsia" w:ascii="仿宋" w:hAnsi="仿宋" w:eastAsia="仿宋"/>
                <w:color w:val="auto"/>
                <w:sz w:val="24"/>
              </w:rPr>
              <w:t>含</w:t>
            </w:r>
            <w:r>
              <w:rPr>
                <w:rFonts w:hint="eastAsia" w:ascii="仿宋" w:hAnsi="仿宋" w:eastAsia="仿宋"/>
                <w:color w:val="auto"/>
                <w:sz w:val="24"/>
                <w:lang w:eastAsia="zh-CN"/>
              </w:rPr>
              <w:t>围墙、道路、标准体育场、篮球场、餐厅、教工宿舍、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1489" w:type="dxa"/>
            <w:vAlign w:val="center"/>
          </w:tcPr>
          <w:p>
            <w:pPr>
              <w:spacing w:after="0" w:line="360" w:lineRule="auto"/>
              <w:jc w:val="center"/>
              <w:rPr>
                <w:rFonts w:ascii="仿宋" w:hAnsi="仿宋" w:eastAsia="仿宋"/>
                <w:color w:val="auto"/>
                <w:sz w:val="24"/>
              </w:rPr>
            </w:pPr>
            <w:r>
              <w:rPr>
                <w:rFonts w:ascii="仿宋" w:hAnsi="仿宋" w:eastAsia="仿宋"/>
                <w:color w:val="auto"/>
                <w:sz w:val="24"/>
              </w:rPr>
              <w:t>3</w:t>
            </w:r>
          </w:p>
        </w:tc>
        <w:tc>
          <w:tcPr>
            <w:tcW w:w="2593" w:type="dxa"/>
            <w:vAlign w:val="center"/>
          </w:tcPr>
          <w:p>
            <w:pPr>
              <w:spacing w:after="0"/>
              <w:jc w:val="center"/>
              <w:rPr>
                <w:rFonts w:ascii="仿宋" w:hAnsi="仿宋" w:eastAsia="仿宋"/>
                <w:color w:val="auto"/>
                <w:sz w:val="24"/>
              </w:rPr>
            </w:pPr>
            <w:r>
              <w:rPr>
                <w:rFonts w:hint="eastAsia" w:ascii="仿宋" w:hAnsi="仿宋" w:eastAsia="仿宋"/>
                <w:color w:val="auto"/>
                <w:sz w:val="24"/>
              </w:rPr>
              <w:t>施工图</w:t>
            </w:r>
          </w:p>
        </w:tc>
        <w:tc>
          <w:tcPr>
            <w:tcW w:w="2373" w:type="dxa"/>
            <w:vAlign w:val="center"/>
          </w:tcPr>
          <w:p>
            <w:pPr>
              <w:spacing w:after="0" w:line="360" w:lineRule="auto"/>
              <w:jc w:val="center"/>
              <w:rPr>
                <w:rFonts w:ascii="仿宋" w:hAnsi="仿宋" w:eastAsia="仿宋"/>
                <w:color w:val="auto"/>
                <w:sz w:val="24"/>
              </w:rPr>
            </w:pPr>
          </w:p>
        </w:tc>
        <w:tc>
          <w:tcPr>
            <w:tcW w:w="2591" w:type="dxa"/>
            <w:vAlign w:val="center"/>
          </w:tcPr>
          <w:p>
            <w:pPr>
              <w:spacing w:after="0" w:line="360" w:lineRule="auto"/>
              <w:jc w:val="center"/>
              <w:rPr>
                <w:rFonts w:ascii="仿宋" w:hAnsi="仿宋" w:eastAsia="仿宋"/>
                <w:color w:val="auto"/>
                <w:sz w:val="24"/>
              </w:rPr>
            </w:pPr>
            <w:r>
              <w:rPr>
                <w:rFonts w:hint="eastAsia" w:ascii="仿宋" w:hAnsi="仿宋" w:eastAsia="仿宋"/>
                <w:color w:val="auto"/>
                <w:sz w:val="24"/>
              </w:rPr>
              <w:t>含</w:t>
            </w:r>
            <w:r>
              <w:rPr>
                <w:rFonts w:hint="eastAsia" w:ascii="仿宋" w:hAnsi="仿宋" w:eastAsia="仿宋"/>
                <w:color w:val="auto"/>
                <w:sz w:val="24"/>
                <w:lang w:eastAsia="zh-CN"/>
              </w:rPr>
              <w:t>围墙、道路、标准体育场、篮球场、餐厅、教工宿舍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1489" w:type="dxa"/>
            <w:vAlign w:val="center"/>
          </w:tcPr>
          <w:p>
            <w:pPr>
              <w:spacing w:after="0" w:line="360" w:lineRule="auto"/>
              <w:jc w:val="center"/>
              <w:rPr>
                <w:rFonts w:ascii="仿宋" w:hAnsi="仿宋" w:eastAsia="仿宋"/>
                <w:color w:val="auto"/>
                <w:sz w:val="24"/>
              </w:rPr>
            </w:pPr>
          </w:p>
        </w:tc>
        <w:tc>
          <w:tcPr>
            <w:tcW w:w="2593" w:type="dxa"/>
            <w:vAlign w:val="center"/>
          </w:tcPr>
          <w:p>
            <w:pPr>
              <w:spacing w:after="0" w:line="360" w:lineRule="auto"/>
              <w:jc w:val="center"/>
              <w:rPr>
                <w:rFonts w:ascii="仿宋" w:hAnsi="仿宋" w:eastAsia="仿宋"/>
                <w:color w:val="auto"/>
                <w:sz w:val="24"/>
              </w:rPr>
            </w:pPr>
          </w:p>
        </w:tc>
        <w:tc>
          <w:tcPr>
            <w:tcW w:w="2373" w:type="dxa"/>
            <w:vAlign w:val="center"/>
          </w:tcPr>
          <w:p>
            <w:pPr>
              <w:spacing w:after="0" w:line="360" w:lineRule="auto"/>
              <w:jc w:val="center"/>
              <w:rPr>
                <w:rFonts w:ascii="仿宋" w:hAnsi="仿宋" w:eastAsia="仿宋"/>
                <w:color w:val="auto"/>
                <w:sz w:val="24"/>
              </w:rPr>
            </w:pPr>
          </w:p>
        </w:tc>
        <w:tc>
          <w:tcPr>
            <w:tcW w:w="2591" w:type="dxa"/>
            <w:vAlign w:val="center"/>
          </w:tcPr>
          <w:p>
            <w:pPr>
              <w:spacing w:after="0" w:line="360" w:lineRule="auto"/>
              <w:jc w:val="center"/>
              <w:rPr>
                <w:rFonts w:ascii="仿宋" w:hAnsi="仿宋" w:eastAsia="仿宋"/>
                <w:color w:val="auto"/>
                <w:sz w:val="24"/>
              </w:rPr>
            </w:pPr>
          </w:p>
        </w:tc>
      </w:tr>
    </w:tbl>
    <w:p>
      <w:pPr>
        <w:rPr>
          <w:rFonts w:ascii="仿宋" w:hAnsi="仿宋" w:eastAsia="仿宋"/>
          <w:color w:val="auto"/>
          <w:sz w:val="28"/>
          <w:szCs w:val="28"/>
        </w:rPr>
      </w:pPr>
    </w:p>
    <w:p>
      <w:pPr>
        <w:rPr>
          <w:rFonts w:ascii="仿宋" w:hAnsi="仿宋" w:eastAsia="仿宋"/>
          <w:color w:val="auto"/>
          <w:sz w:val="28"/>
          <w:szCs w:val="28"/>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bCs/>
          <w:color w:val="auto"/>
          <w:sz w:val="28"/>
          <w:szCs w:val="28"/>
          <w:u w:val="single"/>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b/>
          <w:color w:val="auto"/>
          <w:sz w:val="36"/>
          <w:szCs w:val="36"/>
        </w:rPr>
        <w:sectPr>
          <w:headerReference r:id="rId17" w:type="default"/>
          <w:footerReference r:id="rId18" w:type="default"/>
          <w:type w:val="continuous"/>
          <w:pgSz w:w="11906" w:h="16838"/>
          <w:pgMar w:top="1440" w:right="1416" w:bottom="1440" w:left="1134" w:header="851" w:footer="992" w:gutter="0"/>
          <w:pgNumType w:fmt="decimal"/>
          <w:cols w:space="425" w:num="1"/>
          <w:titlePg/>
          <w:docGrid w:type="lines" w:linePitch="312" w:charSpace="0"/>
        </w:sectPr>
      </w:pPr>
      <w:r>
        <w:rPr>
          <w:rFonts w:ascii="仿宋" w:hAnsi="仿宋" w:eastAsia="仿宋"/>
          <w:color w:val="auto"/>
          <w:sz w:val="28"/>
          <w:szCs w:val="28"/>
        </w:rPr>
        <w:br w:type="page"/>
      </w:r>
    </w:p>
    <w:tbl>
      <w:tblPr>
        <w:tblStyle w:val="6"/>
        <w:tblW w:w="13655" w:type="dxa"/>
        <w:tblInd w:w="250" w:type="dxa"/>
        <w:tblLayout w:type="fixed"/>
        <w:tblCellMar>
          <w:top w:w="0" w:type="dxa"/>
          <w:left w:w="108" w:type="dxa"/>
          <w:bottom w:w="0" w:type="dxa"/>
          <w:right w:w="108" w:type="dxa"/>
        </w:tblCellMar>
      </w:tblPr>
      <w:tblGrid>
        <w:gridCol w:w="884"/>
        <w:gridCol w:w="3651"/>
        <w:gridCol w:w="1223"/>
        <w:gridCol w:w="1505"/>
        <w:gridCol w:w="1951"/>
        <w:gridCol w:w="2443"/>
        <w:gridCol w:w="1987"/>
        <w:gridCol w:w="11"/>
      </w:tblGrid>
      <w:tr>
        <w:tblPrEx>
          <w:tblCellMar>
            <w:top w:w="0" w:type="dxa"/>
            <w:left w:w="108" w:type="dxa"/>
            <w:bottom w:w="0" w:type="dxa"/>
            <w:right w:w="108" w:type="dxa"/>
          </w:tblCellMar>
        </w:tblPrEx>
        <w:trPr>
          <w:trHeight w:val="227" w:hRule="atLeast"/>
        </w:trPr>
        <w:tc>
          <w:tcPr>
            <w:tcW w:w="13655" w:type="dxa"/>
            <w:gridSpan w:val="8"/>
            <w:tcBorders>
              <w:top w:val="nil"/>
              <w:left w:val="nil"/>
              <w:bottom w:val="nil"/>
              <w:right w:val="nil"/>
            </w:tcBorders>
            <w:shd w:val="clear" w:color="auto" w:fill="auto"/>
            <w:noWrap/>
            <w:vAlign w:val="center"/>
          </w:tcPr>
          <w:p>
            <w:pPr>
              <w:jc w:val="center"/>
              <w:outlineLvl w:val="1"/>
              <w:rPr>
                <w:rFonts w:ascii="仿宋" w:hAnsi="仿宋" w:eastAsia="仿宋"/>
                <w:b/>
                <w:bCs/>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、分项报价一览表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s="宋体"/>
                <w:bCs/>
                <w:color w:val="auto"/>
                <w:sz w:val="28"/>
                <w:szCs w:val="28"/>
              </w:rPr>
            </w:pPr>
            <w:r>
              <w:rPr>
                <w:rFonts w:hint="eastAsia" w:ascii="仿宋" w:hAnsi="仿宋" w:eastAsia="仿宋"/>
                <w:color w:val="auto"/>
                <w:sz w:val="28"/>
                <w:szCs w:val="28"/>
              </w:rPr>
              <w:t>货币单位：</w:t>
            </w:r>
          </w:p>
        </w:tc>
      </w:tr>
      <w:tr>
        <w:tblPrEx>
          <w:tblCellMar>
            <w:top w:w="0" w:type="dxa"/>
            <w:left w:w="108" w:type="dxa"/>
            <w:bottom w:w="0" w:type="dxa"/>
            <w:right w:w="108" w:type="dxa"/>
          </w:tblCellMar>
        </w:tblPrEx>
        <w:trPr>
          <w:gridAfter w:val="1"/>
          <w:wAfter w:w="11" w:type="dxa"/>
          <w:trHeight w:val="539" w:hRule="atLeast"/>
        </w:trPr>
        <w:tc>
          <w:tcPr>
            <w:tcW w:w="884" w:type="dxa"/>
            <w:tcBorders>
              <w:top w:val="single" w:color="auto" w:sz="4" w:space="0"/>
              <w:left w:val="single" w:color="auto" w:sz="4" w:space="0"/>
              <w:bottom w:val="single" w:color="auto" w:sz="4" w:space="0"/>
              <w:right w:val="single" w:color="auto" w:sz="4" w:space="0"/>
            </w:tcBorders>
            <w:shd w:val="clear" w:color="auto" w:fill="D6DCE4" w:themeFill="text2" w:themeFillTint="33"/>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序号</w:t>
            </w:r>
          </w:p>
        </w:tc>
        <w:tc>
          <w:tcPr>
            <w:tcW w:w="3651" w:type="dxa"/>
            <w:tcBorders>
              <w:top w:val="single" w:color="auto" w:sz="4" w:space="0"/>
              <w:left w:val="single" w:color="auto" w:sz="4" w:space="0"/>
              <w:bottom w:val="single" w:color="auto" w:sz="4" w:space="0"/>
              <w:right w:val="single" w:color="auto" w:sz="4" w:space="0"/>
            </w:tcBorders>
            <w:shd w:val="clear" w:color="auto" w:fill="D6DCE4" w:themeFill="text2" w:themeFillTint="33"/>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项目名称</w:t>
            </w:r>
          </w:p>
        </w:tc>
        <w:tc>
          <w:tcPr>
            <w:tcW w:w="2728" w:type="dxa"/>
            <w:gridSpan w:val="2"/>
            <w:tcBorders>
              <w:top w:val="single" w:color="auto" w:sz="4" w:space="0"/>
              <w:left w:val="single" w:color="auto" w:sz="4" w:space="0"/>
              <w:bottom w:val="single" w:color="auto" w:sz="4" w:space="0"/>
              <w:right w:val="single" w:color="auto" w:sz="4" w:space="0"/>
            </w:tcBorders>
            <w:shd w:val="clear" w:color="auto" w:fill="D6DCE4" w:themeFill="text2" w:themeFillTint="33"/>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建设规模</w:t>
            </w:r>
          </w:p>
        </w:tc>
        <w:tc>
          <w:tcPr>
            <w:tcW w:w="1951" w:type="dxa"/>
            <w:tcBorders>
              <w:top w:val="single" w:color="auto" w:sz="4" w:space="0"/>
              <w:left w:val="nil"/>
              <w:bottom w:val="single" w:color="auto" w:sz="4" w:space="0"/>
              <w:right w:val="single" w:color="auto" w:sz="4" w:space="0"/>
            </w:tcBorders>
            <w:shd w:val="clear" w:color="auto" w:fill="D6DCE4" w:themeFill="text2" w:themeFillTint="33"/>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计算基数</w:t>
            </w:r>
          </w:p>
        </w:tc>
        <w:tc>
          <w:tcPr>
            <w:tcW w:w="2443" w:type="dxa"/>
            <w:tcBorders>
              <w:top w:val="single" w:color="auto" w:sz="4" w:space="0"/>
              <w:left w:val="nil"/>
              <w:bottom w:val="single" w:color="auto" w:sz="4" w:space="0"/>
              <w:right w:val="single" w:color="auto" w:sz="4" w:space="0"/>
            </w:tcBorders>
            <w:shd w:val="clear" w:color="auto" w:fill="D6DCE4" w:themeFill="text2" w:themeFillTint="33"/>
            <w:noWrap/>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估算设计费</w:t>
            </w:r>
          </w:p>
        </w:tc>
        <w:tc>
          <w:tcPr>
            <w:tcW w:w="1987" w:type="dxa"/>
            <w:tcBorders>
              <w:top w:val="single" w:color="auto" w:sz="4" w:space="0"/>
              <w:left w:val="single" w:color="auto" w:sz="4" w:space="0"/>
              <w:bottom w:val="single" w:color="auto" w:sz="4" w:space="0"/>
              <w:right w:val="single" w:color="auto" w:sz="4" w:space="0"/>
            </w:tcBorders>
            <w:shd w:val="clear" w:color="auto" w:fill="D6DCE4" w:themeFill="text2" w:themeFillTint="33"/>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备注</w:t>
            </w:r>
          </w:p>
        </w:tc>
      </w:tr>
      <w:tr>
        <w:tblPrEx>
          <w:tblCellMar>
            <w:top w:w="0" w:type="dxa"/>
            <w:left w:w="108" w:type="dxa"/>
            <w:bottom w:w="0" w:type="dxa"/>
            <w:right w:w="108" w:type="dxa"/>
          </w:tblCellMar>
        </w:tblPrEx>
        <w:trPr>
          <w:gridAfter w:val="1"/>
          <w:wAfter w:w="11" w:type="dxa"/>
          <w:trHeight w:val="567"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22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18"/>
                <w:szCs w:val="18"/>
              </w:rPr>
            </w:pPr>
          </w:p>
        </w:tc>
        <w:tc>
          <w:tcPr>
            <w:tcW w:w="1505" w:type="dxa"/>
            <w:tcBorders>
              <w:top w:val="nil"/>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宋体"/>
                <w:b/>
                <w:bCs/>
                <w:color w:val="auto"/>
                <w:sz w:val="21"/>
                <w:szCs w:val="21"/>
                <w:lang w:eastAsia="zh-CN"/>
              </w:rPr>
            </w:pPr>
          </w:p>
        </w:tc>
        <w:tc>
          <w:tcPr>
            <w:tcW w:w="1951"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一</w:t>
            </w: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围墙及道路</w:t>
            </w:r>
          </w:p>
        </w:tc>
        <w:tc>
          <w:tcPr>
            <w:tcW w:w="122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21"/>
                <w:szCs w:val="21"/>
              </w:rPr>
            </w:pPr>
          </w:p>
        </w:tc>
        <w:tc>
          <w:tcPr>
            <w:tcW w:w="1505" w:type="dxa"/>
            <w:tcBorders>
              <w:top w:val="nil"/>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宋体"/>
                <w:b/>
                <w:color w:val="auto"/>
                <w:sz w:val="21"/>
                <w:szCs w:val="21"/>
                <w:lang w:eastAsia="zh-CN"/>
              </w:rPr>
            </w:pPr>
          </w:p>
        </w:tc>
        <w:tc>
          <w:tcPr>
            <w:tcW w:w="1951"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21"/>
                <w:szCs w:val="21"/>
              </w:rPr>
            </w:pPr>
            <w:r>
              <w:rPr>
                <w:rFonts w:hint="eastAsia" w:ascii="仿宋" w:hAnsi="仿宋" w:eastAsia="仿宋" w:cs="宋体"/>
                <w:b/>
                <w:color w:val="auto"/>
                <w:sz w:val="21"/>
                <w:szCs w:val="21"/>
                <w:lang w:eastAsia="zh-CN"/>
              </w:rPr>
              <w:t>项</w:t>
            </w:r>
          </w:p>
        </w:tc>
        <w:tc>
          <w:tcPr>
            <w:tcW w:w="244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施工图</w:t>
            </w:r>
          </w:p>
        </w:tc>
        <w:tc>
          <w:tcPr>
            <w:tcW w:w="122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21"/>
                <w:szCs w:val="21"/>
              </w:rPr>
            </w:pPr>
          </w:p>
        </w:tc>
        <w:tc>
          <w:tcPr>
            <w:tcW w:w="1505"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21"/>
                <w:szCs w:val="21"/>
              </w:rPr>
            </w:pPr>
          </w:p>
        </w:tc>
        <w:tc>
          <w:tcPr>
            <w:tcW w:w="1951"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21"/>
                <w:szCs w:val="21"/>
              </w:rPr>
            </w:pPr>
          </w:p>
        </w:tc>
        <w:tc>
          <w:tcPr>
            <w:tcW w:w="244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二</w:t>
            </w: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val="en-US" w:eastAsia="zh-CN"/>
              </w:rPr>
              <w:t>跑道、</w:t>
            </w:r>
            <w:r>
              <w:rPr>
                <w:rFonts w:hint="eastAsia" w:ascii="仿宋" w:hAnsi="仿宋" w:eastAsia="仿宋" w:cs="宋体"/>
                <w:b/>
                <w:bCs/>
                <w:color w:val="auto"/>
                <w:sz w:val="21"/>
                <w:szCs w:val="21"/>
                <w:lang w:eastAsia="zh-CN"/>
              </w:rPr>
              <w:t>标准足球场场及篮球场等</w:t>
            </w:r>
            <w:r>
              <w:rPr>
                <w:rFonts w:hint="eastAsia" w:ascii="仿宋" w:hAnsi="仿宋" w:eastAsia="仿宋" w:cs="宋体"/>
                <w:b/>
                <w:bCs/>
                <w:color w:val="auto"/>
                <w:sz w:val="21"/>
                <w:szCs w:val="21"/>
                <w:lang w:val="en-US" w:eastAsia="zh-CN"/>
              </w:rPr>
              <w:t>室外</w:t>
            </w:r>
            <w:r>
              <w:rPr>
                <w:rFonts w:hint="eastAsia" w:ascii="仿宋" w:hAnsi="仿宋" w:eastAsia="仿宋" w:cs="宋体"/>
                <w:b/>
                <w:bCs/>
                <w:color w:val="auto"/>
                <w:sz w:val="21"/>
                <w:szCs w:val="21"/>
                <w:lang w:eastAsia="zh-CN"/>
              </w:rPr>
              <w:t>运动场地</w:t>
            </w:r>
          </w:p>
        </w:tc>
        <w:tc>
          <w:tcPr>
            <w:tcW w:w="122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nil"/>
              <w:left w:val="nil"/>
              <w:bottom w:val="single" w:color="auto" w:sz="4" w:space="0"/>
              <w:right w:val="single" w:color="auto" w:sz="4" w:space="0"/>
            </w:tcBorders>
            <w:shd w:val="clear" w:color="auto" w:fill="auto"/>
            <w:vAlign w:val="center"/>
          </w:tcPr>
          <w:p>
            <w:pPr>
              <w:spacing w:after="0"/>
              <w:jc w:val="center"/>
              <w:rPr>
                <w:rFonts w:hint="default" w:ascii="仿宋" w:hAnsi="仿宋" w:eastAsia="仿宋" w:cs="宋体"/>
                <w:b/>
                <w:bCs/>
                <w:color w:val="auto"/>
                <w:sz w:val="21"/>
                <w:szCs w:val="21"/>
                <w:lang w:val="en-US" w:eastAsia="zh-CN"/>
              </w:rPr>
            </w:pPr>
          </w:p>
        </w:tc>
        <w:tc>
          <w:tcPr>
            <w:tcW w:w="1951"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费率（元/m2）</w:t>
            </w:r>
          </w:p>
        </w:tc>
        <w:tc>
          <w:tcPr>
            <w:tcW w:w="244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方案</w:t>
            </w:r>
          </w:p>
        </w:tc>
        <w:tc>
          <w:tcPr>
            <w:tcW w:w="122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nil"/>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nil"/>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初步设计</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施工图</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三</w:t>
            </w: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综合体育馆（单侧看台及附属场馆）</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费率（元/m2）</w:t>
            </w: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方案</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初步设计</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施工图</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四</w:t>
            </w: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餐厅楼</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2层</w:t>
            </w: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3000平</w:t>
            </w: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费率（元/m2）</w:t>
            </w: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方案</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初步设计</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r>
              <w:rPr>
                <w:rFonts w:hint="eastAsia" w:ascii="仿宋" w:hAnsi="仿宋" w:eastAsia="仿宋" w:cs="宋体"/>
                <w:b/>
                <w:bCs/>
                <w:color w:val="auto"/>
                <w:sz w:val="21"/>
                <w:szCs w:val="21"/>
              </w:rPr>
              <w:t>施工图</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ind w:firstLine="211" w:firstLineChars="10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五</w:t>
            </w:r>
          </w:p>
        </w:tc>
        <w:tc>
          <w:tcPr>
            <w:tcW w:w="3651" w:type="dxa"/>
            <w:tcBorders>
              <w:top w:val="single" w:color="auto" w:sz="4" w:space="0"/>
              <w:left w:val="nil"/>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eastAsia="zh-CN"/>
              </w:rPr>
              <w:t>教工宿舍</w:t>
            </w:r>
          </w:p>
        </w:tc>
        <w:tc>
          <w:tcPr>
            <w:tcW w:w="1223"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505" w:type="dxa"/>
            <w:tcBorders>
              <w:top w:val="single" w:color="auto" w:sz="4" w:space="0"/>
              <w:left w:val="nil"/>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r>
              <w:rPr>
                <w:rFonts w:hint="eastAsia" w:ascii="仿宋" w:hAnsi="仿宋" w:eastAsia="仿宋" w:cs="宋体"/>
                <w:b/>
                <w:bCs/>
                <w:color w:val="auto"/>
                <w:sz w:val="21"/>
                <w:szCs w:val="21"/>
              </w:rPr>
              <w:t>费率（元/m2）</w:t>
            </w:r>
          </w:p>
        </w:tc>
        <w:tc>
          <w:tcPr>
            <w:tcW w:w="2443"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3651"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方案</w:t>
            </w:r>
          </w:p>
        </w:tc>
        <w:tc>
          <w:tcPr>
            <w:tcW w:w="1223"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505"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rPr>
                <w:rFonts w:ascii="仿宋" w:hAnsi="仿宋" w:eastAsia="仿宋" w:cs="宋体"/>
                <w:b/>
                <w:bCs/>
                <w:color w:val="auto"/>
                <w:sz w:val="21"/>
                <w:szCs w:val="21"/>
              </w:rPr>
            </w:pP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b/>
                <w:bCs/>
                <w:color w:val="auto"/>
                <w:sz w:val="21"/>
                <w:szCs w:val="21"/>
              </w:rPr>
            </w:pPr>
          </w:p>
        </w:tc>
        <w:tc>
          <w:tcPr>
            <w:tcW w:w="2443"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67" w:hRule="atLeast"/>
        </w:trPr>
        <w:tc>
          <w:tcPr>
            <w:tcW w:w="0" w:type="auto"/>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3651" w:type="dxa"/>
            <w:tcBorders>
              <w:top w:val="single" w:color="auto" w:sz="4" w:space="0"/>
              <w:left w:val="single" w:color="auto" w:sz="4" w:space="0"/>
              <w:bottom w:val="single" w:color="auto" w:sz="4" w:space="0"/>
              <w:right w:val="single" w:color="auto" w:sz="4" w:space="0"/>
            </w:tcBorders>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初步设计</w:t>
            </w:r>
          </w:p>
        </w:tc>
        <w:tc>
          <w:tcPr>
            <w:tcW w:w="1223" w:type="dxa"/>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52" w:hRule="atLeast"/>
        </w:trPr>
        <w:tc>
          <w:tcPr>
            <w:tcW w:w="0" w:type="auto"/>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3651" w:type="dxa"/>
            <w:tcBorders>
              <w:top w:val="single" w:color="auto" w:sz="4" w:space="0"/>
              <w:left w:val="single" w:color="auto" w:sz="4" w:space="0"/>
              <w:bottom w:val="single" w:color="auto" w:sz="4" w:space="0"/>
              <w:right w:val="single" w:color="auto" w:sz="4" w:space="0"/>
            </w:tcBorders>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施工图</w:t>
            </w:r>
          </w:p>
        </w:tc>
        <w:tc>
          <w:tcPr>
            <w:tcW w:w="1223" w:type="dxa"/>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52" w:hRule="atLeast"/>
        </w:trPr>
        <w:tc>
          <w:tcPr>
            <w:tcW w:w="0" w:type="auto"/>
            <w:tcBorders>
              <w:top w:val="single" w:color="auto" w:sz="4" w:space="0"/>
              <w:left w:val="single" w:color="auto" w:sz="4" w:space="0"/>
              <w:bottom w:val="single" w:color="auto" w:sz="4" w:space="0"/>
              <w:right w:val="single" w:color="auto" w:sz="4" w:space="0"/>
            </w:tcBorders>
            <w:vAlign w:val="center"/>
          </w:tcPr>
          <w:p>
            <w:pPr>
              <w:spacing w:after="0"/>
              <w:ind w:firstLine="211" w:firstLineChars="10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lang w:val="en-US" w:eastAsia="zh-CN"/>
              </w:rPr>
              <w:t>六</w:t>
            </w:r>
          </w:p>
        </w:tc>
        <w:tc>
          <w:tcPr>
            <w:tcW w:w="3651" w:type="dxa"/>
            <w:tcBorders>
              <w:top w:val="single" w:color="auto" w:sz="4" w:space="0"/>
              <w:left w:val="single" w:color="auto" w:sz="4" w:space="0"/>
              <w:bottom w:val="single" w:color="auto" w:sz="4" w:space="0"/>
              <w:right w:val="single" w:color="auto" w:sz="4" w:space="0"/>
            </w:tcBorders>
            <w:vAlign w:val="center"/>
          </w:tcPr>
          <w:p>
            <w:pPr>
              <w:spacing w:after="0"/>
              <w:rPr>
                <w:rFonts w:hint="eastAsia"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lang w:eastAsia="zh-CN"/>
              </w:rPr>
              <w:t>校园</w:t>
            </w:r>
            <w:r>
              <w:rPr>
                <w:rFonts w:hint="eastAsia" w:ascii="仿宋" w:hAnsi="仿宋" w:eastAsia="仿宋" w:cs="宋体"/>
                <w:b/>
                <w:bCs/>
                <w:color w:val="auto"/>
                <w:sz w:val="21"/>
                <w:szCs w:val="21"/>
                <w:lang w:val="en-US" w:eastAsia="zh-CN"/>
              </w:rPr>
              <w:t>北区规划及校园整体</w:t>
            </w:r>
            <w:r>
              <w:rPr>
                <w:rFonts w:hint="eastAsia" w:ascii="仿宋" w:hAnsi="仿宋" w:eastAsia="仿宋" w:cs="宋体"/>
                <w:b/>
                <w:bCs/>
                <w:color w:val="auto"/>
                <w:sz w:val="21"/>
                <w:szCs w:val="21"/>
                <w:lang w:eastAsia="zh-CN"/>
              </w:rPr>
              <w:t>总图</w:t>
            </w:r>
          </w:p>
        </w:tc>
        <w:tc>
          <w:tcPr>
            <w:tcW w:w="1223" w:type="dxa"/>
            <w:tcBorders>
              <w:top w:val="single" w:color="auto" w:sz="4" w:space="0"/>
              <w:left w:val="single" w:color="auto" w:sz="4" w:space="0"/>
              <w:bottom w:val="single" w:color="auto" w:sz="4" w:space="0"/>
              <w:right w:val="single" w:color="auto" w:sz="4" w:space="0"/>
            </w:tcBorders>
            <w:vAlign w:val="center"/>
          </w:tcPr>
          <w:p>
            <w:pPr>
              <w:spacing w:after="0"/>
              <w:rPr>
                <w:rFonts w:ascii="仿宋" w:hAnsi="仿宋" w:eastAsia="仿宋" w:cs="宋体"/>
                <w:b/>
                <w:bCs/>
                <w:color w:val="auto"/>
                <w:sz w:val="21"/>
                <w:szCs w:val="21"/>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spacing w:after="0"/>
              <w:rPr>
                <w:rFonts w:ascii="仿宋" w:hAnsi="仿宋" w:eastAsia="仿宋" w:cs="宋体"/>
                <w:b/>
                <w:bCs/>
                <w:color w:val="auto"/>
                <w:sz w:val="21"/>
                <w:szCs w:val="21"/>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spacing w:after="0"/>
              <w:jc w:val="center"/>
              <w:rPr>
                <w:rFonts w:ascii="仿宋" w:hAnsi="仿宋" w:eastAsia="仿宋" w:cs="宋体"/>
                <w:b/>
                <w:bCs/>
                <w:color w:val="auto"/>
                <w:sz w:val="21"/>
                <w:szCs w:val="21"/>
                <w:lang w:val="en-US" w:eastAsia="zh-CN" w:bidi="ar-SA"/>
              </w:rPr>
            </w:pPr>
            <w:r>
              <w:rPr>
                <w:rFonts w:hint="eastAsia" w:ascii="仿宋" w:hAnsi="仿宋" w:eastAsia="仿宋" w:cs="宋体"/>
                <w:b/>
                <w:bCs/>
                <w:color w:val="auto"/>
                <w:sz w:val="21"/>
                <w:szCs w:val="21"/>
              </w:rPr>
              <w:t>费率（元/m2）</w:t>
            </w: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r>
      <w:tr>
        <w:tblPrEx>
          <w:tblCellMar>
            <w:top w:w="0" w:type="dxa"/>
            <w:left w:w="108" w:type="dxa"/>
            <w:bottom w:w="0" w:type="dxa"/>
            <w:right w:w="108" w:type="dxa"/>
          </w:tblCellMar>
        </w:tblPrEx>
        <w:trPr>
          <w:gridAfter w:val="1"/>
          <w:wAfter w:w="11" w:type="dxa"/>
          <w:trHeight w:val="552" w:hRule="atLeast"/>
        </w:trPr>
        <w:tc>
          <w:tcPr>
            <w:tcW w:w="0" w:type="auto"/>
            <w:tcBorders>
              <w:top w:val="single" w:color="auto" w:sz="4" w:space="0"/>
              <w:left w:val="single" w:color="auto" w:sz="4" w:space="0"/>
              <w:bottom w:val="single" w:color="auto" w:sz="4" w:space="0"/>
              <w:right w:val="single" w:color="auto" w:sz="4" w:space="0"/>
            </w:tcBorders>
            <w:vAlign w:val="center"/>
          </w:tcPr>
          <w:p>
            <w:pPr>
              <w:spacing w:after="0"/>
              <w:ind w:firstLine="211" w:firstLineChars="100"/>
              <w:rPr>
                <w:rFonts w:hint="eastAsia" w:ascii="仿宋" w:hAnsi="仿宋" w:eastAsia="仿宋" w:cs="宋体"/>
                <w:b/>
                <w:bCs/>
                <w:color w:val="auto"/>
                <w:sz w:val="21"/>
                <w:szCs w:val="21"/>
                <w:lang w:val="en-US" w:eastAsia="zh-CN"/>
              </w:rPr>
            </w:pPr>
          </w:p>
        </w:tc>
        <w:tc>
          <w:tcPr>
            <w:tcW w:w="3651" w:type="dxa"/>
            <w:tcBorders>
              <w:top w:val="single" w:color="auto" w:sz="4" w:space="0"/>
              <w:left w:val="single" w:color="auto" w:sz="4" w:space="0"/>
              <w:bottom w:val="single" w:color="auto" w:sz="4" w:space="0"/>
              <w:right w:val="single" w:color="auto" w:sz="4" w:space="0"/>
            </w:tcBorders>
            <w:vAlign w:val="center"/>
          </w:tcPr>
          <w:p>
            <w:pPr>
              <w:spacing w:after="0"/>
              <w:rPr>
                <w:rFonts w:hint="eastAsia" w:ascii="仿宋" w:hAnsi="仿宋" w:eastAsia="仿宋"/>
                <w:color w:val="auto"/>
                <w:sz w:val="24"/>
                <w:lang w:eastAsia="zh-CN"/>
              </w:rPr>
            </w:pPr>
            <w:r>
              <w:rPr>
                <w:rFonts w:hint="eastAsia" w:ascii="仿宋" w:hAnsi="仿宋" w:eastAsia="仿宋" w:cs="宋体"/>
                <w:b/>
                <w:bCs/>
                <w:color w:val="auto"/>
                <w:sz w:val="21"/>
                <w:szCs w:val="21"/>
              </w:rPr>
              <w:t>方案</w:t>
            </w:r>
          </w:p>
        </w:tc>
        <w:tc>
          <w:tcPr>
            <w:tcW w:w="1223" w:type="dxa"/>
            <w:tcBorders>
              <w:top w:val="single" w:color="auto" w:sz="4" w:space="0"/>
              <w:left w:val="single" w:color="auto" w:sz="4" w:space="0"/>
              <w:bottom w:val="single" w:color="auto" w:sz="4" w:space="0"/>
              <w:right w:val="single" w:color="auto" w:sz="4" w:space="0"/>
            </w:tcBorders>
            <w:vAlign w:val="center"/>
          </w:tcPr>
          <w:p>
            <w:pPr>
              <w:spacing w:after="0"/>
              <w:rPr>
                <w:rFonts w:ascii="仿宋" w:hAnsi="仿宋" w:eastAsia="仿宋" w:cs="宋体"/>
                <w:b/>
                <w:bCs/>
                <w:color w:val="auto"/>
                <w:sz w:val="21"/>
                <w:szCs w:val="21"/>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spacing w:after="0"/>
              <w:rPr>
                <w:rFonts w:ascii="仿宋" w:hAnsi="仿宋" w:eastAsia="仿宋" w:cs="宋体"/>
                <w:b/>
                <w:bCs/>
                <w:color w:val="auto"/>
                <w:sz w:val="21"/>
                <w:szCs w:val="21"/>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spacing w:after="0"/>
              <w:jc w:val="center"/>
              <w:rPr>
                <w:rFonts w:hint="eastAsia" w:ascii="仿宋" w:hAnsi="仿宋" w:eastAsia="仿宋" w:cs="宋体"/>
                <w:b/>
                <w:bCs/>
                <w:color w:val="auto"/>
                <w:sz w:val="21"/>
                <w:szCs w:val="21"/>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c>
          <w:tcPr>
            <w:tcW w:w="0" w:type="auto"/>
            <w:tcBorders>
              <w:top w:val="single" w:color="auto" w:sz="4" w:space="0"/>
              <w:left w:val="single" w:color="auto" w:sz="4" w:space="0"/>
              <w:bottom w:val="single" w:color="auto" w:sz="4" w:space="0"/>
              <w:right w:val="single" w:color="auto" w:sz="4" w:space="0"/>
            </w:tcBorders>
          </w:tcPr>
          <w:p>
            <w:pPr>
              <w:spacing w:after="0"/>
              <w:jc w:val="center"/>
              <w:rPr>
                <w:rFonts w:ascii="仿宋" w:hAnsi="仿宋" w:eastAsia="仿宋" w:cs="宋体"/>
                <w:color w:val="auto"/>
                <w:sz w:val="18"/>
                <w:szCs w:val="18"/>
              </w:rPr>
            </w:pPr>
          </w:p>
        </w:tc>
      </w:tr>
    </w:tbl>
    <w:p>
      <w:pPr>
        <w:spacing w:after="0" w:line="420" w:lineRule="exact"/>
        <w:rPr>
          <w:rFonts w:ascii="仿宋" w:hAnsi="仿宋" w:eastAsia="仿宋"/>
          <w:color w:val="auto"/>
          <w:sz w:val="24"/>
          <w:szCs w:val="24"/>
        </w:rPr>
      </w:pPr>
      <w:r>
        <w:rPr>
          <w:rFonts w:hint="eastAsia"/>
          <w:color w:val="auto"/>
          <w:sz w:val="24"/>
          <w:szCs w:val="24"/>
        </w:rPr>
        <w:t xml:space="preserve"> </w:t>
      </w:r>
      <w:r>
        <w:rPr>
          <w:rFonts w:ascii="仿宋" w:hAnsi="仿宋" w:eastAsia="仿宋"/>
          <w:color w:val="auto"/>
          <w:sz w:val="24"/>
          <w:szCs w:val="24"/>
        </w:rPr>
        <w:t>注：</w:t>
      </w:r>
      <w:r>
        <w:rPr>
          <w:rFonts w:hint="eastAsia" w:ascii="仿宋" w:hAnsi="仿宋" w:eastAsia="仿宋"/>
          <w:color w:val="auto"/>
          <w:sz w:val="24"/>
          <w:szCs w:val="24"/>
        </w:rPr>
        <w:t xml:space="preserve"> </w:t>
      </w:r>
      <w:r>
        <w:rPr>
          <w:rFonts w:ascii="仿宋" w:hAnsi="仿宋" w:eastAsia="仿宋"/>
          <w:color w:val="auto"/>
          <w:sz w:val="24"/>
          <w:szCs w:val="24"/>
        </w:rPr>
        <w:t xml:space="preserve">   1.如果按单价计算的结果与总价不一致,以单价为准修正总价。</w:t>
      </w:r>
    </w:p>
    <w:p>
      <w:pPr>
        <w:spacing w:after="0" w:line="420" w:lineRule="exact"/>
        <w:ind w:left="147" w:leftChars="67" w:firstLine="967" w:firstLineChars="403"/>
        <w:rPr>
          <w:rFonts w:hint="eastAsia" w:ascii="仿宋" w:hAnsi="仿宋" w:eastAsia="仿宋"/>
          <w:color w:val="auto"/>
          <w:sz w:val="24"/>
          <w:szCs w:val="24"/>
        </w:rPr>
      </w:pPr>
      <w:r>
        <w:rPr>
          <w:rFonts w:ascii="仿宋" w:hAnsi="仿宋" w:eastAsia="仿宋"/>
          <w:color w:val="auto"/>
          <w:sz w:val="24"/>
          <w:szCs w:val="24"/>
        </w:rPr>
        <w:t>2.如果不提</w:t>
      </w:r>
      <w:r>
        <w:rPr>
          <w:rFonts w:hint="eastAsia" w:ascii="仿宋" w:hAnsi="仿宋" w:eastAsia="仿宋"/>
          <w:color w:val="auto"/>
          <w:sz w:val="24"/>
          <w:szCs w:val="24"/>
        </w:rPr>
        <w:t>分项</w:t>
      </w:r>
      <w:r>
        <w:rPr>
          <w:rFonts w:ascii="仿宋" w:hAnsi="仿宋" w:eastAsia="仿宋"/>
          <w:color w:val="auto"/>
          <w:sz w:val="24"/>
          <w:szCs w:val="24"/>
        </w:rPr>
        <w:t>报价将视为没有实质性响应</w:t>
      </w:r>
      <w:r>
        <w:rPr>
          <w:rFonts w:hint="eastAsia" w:ascii="仿宋" w:hAnsi="仿宋" w:eastAsia="仿宋"/>
          <w:color w:val="auto"/>
          <w:sz w:val="24"/>
          <w:szCs w:val="24"/>
        </w:rPr>
        <w:t>公开询价</w:t>
      </w:r>
      <w:r>
        <w:rPr>
          <w:rFonts w:ascii="仿宋" w:hAnsi="仿宋" w:eastAsia="仿宋"/>
          <w:color w:val="auto"/>
          <w:sz w:val="24"/>
          <w:szCs w:val="24"/>
        </w:rPr>
        <w:t>文件。</w:t>
      </w:r>
    </w:p>
    <w:p>
      <w:pPr>
        <w:spacing w:line="360" w:lineRule="auto"/>
        <w:ind w:right="960" w:firstLine="8646" w:firstLineChars="3088"/>
        <w:jc w:val="lef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jc w:val="center"/>
        <w:outlineLvl w:val="1"/>
        <w:rPr>
          <w:rFonts w:hint="eastAsia"/>
          <w:b/>
          <w:color w:val="auto"/>
          <w:szCs w:val="21"/>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r>
        <w:rPr>
          <w:rFonts w:hint="eastAsia"/>
          <w:color w:val="auto"/>
          <w:szCs w:val="21"/>
        </w:rPr>
        <w:t xml:space="preserve">    </w:t>
      </w:r>
      <w:r>
        <w:rPr>
          <w:rFonts w:hint="eastAsia"/>
          <w:b/>
          <w:color w:val="auto"/>
          <w:szCs w:val="21"/>
        </w:rPr>
        <w:t xml:space="preserve">                 </w:t>
      </w:r>
    </w:p>
    <w:p>
      <w:pPr>
        <w:jc w:val="center"/>
        <w:outlineLvl w:val="1"/>
        <w:rPr>
          <w:rFonts w:hint="eastAsia"/>
          <w:b/>
          <w:color w:val="auto"/>
          <w:szCs w:val="21"/>
        </w:rPr>
      </w:pPr>
    </w:p>
    <w:p>
      <w:pPr>
        <w:rPr>
          <w:rFonts w:hint="eastAsia"/>
          <w:b/>
          <w:color w:val="auto"/>
          <w:szCs w:val="21"/>
        </w:rPr>
        <w:sectPr>
          <w:headerReference r:id="rId20" w:type="first"/>
          <w:headerReference r:id="rId19" w:type="default"/>
          <w:footerReference r:id="rId21" w:type="default"/>
          <w:type w:val="continuous"/>
          <w:pgSz w:w="16838" w:h="11906" w:orient="landscape"/>
          <w:pgMar w:top="1134" w:right="1440" w:bottom="1416" w:left="1440" w:header="851" w:footer="227" w:gutter="0"/>
          <w:pgNumType w:fmt="decimal"/>
          <w:cols w:space="0" w:num="1"/>
          <w:titlePg/>
          <w:rtlGutter w:val="0"/>
          <w:docGrid w:type="lines" w:linePitch="312" w:charSpace="0"/>
        </w:sectPr>
      </w:pPr>
    </w:p>
    <w:p>
      <w:pPr>
        <w:jc w:val="both"/>
        <w:outlineLvl w:val="1"/>
        <w:rPr>
          <w:rFonts w:hint="eastAsia" w:eastAsiaTheme="minorEastAsia"/>
          <w:b/>
          <w:color w:val="auto"/>
          <w:szCs w:val="21"/>
          <w:lang w:val="en-US" w:eastAsia="zh-CN"/>
        </w:rPr>
      </w:pPr>
    </w:p>
    <w:p>
      <w:pPr>
        <w:jc w:val="center"/>
        <w:outlineLvl w:val="1"/>
        <w:rPr>
          <w:rFonts w:ascii="仿宋" w:hAnsi="仿宋" w:eastAsia="仿宋"/>
          <w:b/>
          <w:color w:val="auto"/>
          <w:sz w:val="28"/>
          <w:szCs w:val="28"/>
        </w:rPr>
      </w:pPr>
      <w:r>
        <w:rPr>
          <w:rFonts w:ascii="仿宋" w:hAnsi="仿宋" w:eastAsia="仿宋"/>
          <w:b/>
          <w:bCs/>
          <w:color w:val="auto"/>
          <w:sz w:val="28"/>
          <w:szCs w:val="28"/>
        </w:rPr>
        <w:t>4</w:t>
      </w:r>
      <w:r>
        <w:rPr>
          <w:rFonts w:hint="eastAsia" w:ascii="仿宋" w:hAnsi="仿宋" w:eastAsia="仿宋"/>
          <w:b/>
          <w:bCs/>
          <w:color w:val="auto"/>
          <w:sz w:val="28"/>
          <w:szCs w:val="28"/>
        </w:rPr>
        <w:t>、参与人的资格证明文件</w:t>
      </w:r>
    </w:p>
    <w:p>
      <w:pPr>
        <w:pStyle w:val="10"/>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83" w:name="_Toc258401267"/>
      <w:bookmarkStart w:id="184" w:name="_Toc235438283"/>
      <w:bookmarkStart w:id="185" w:name="_Toc230071155"/>
      <w:bookmarkStart w:id="186" w:name="_Toc213756059"/>
      <w:bookmarkStart w:id="187" w:name="_Toc225669330"/>
      <w:bookmarkStart w:id="188" w:name="_Toc219800251"/>
      <w:bookmarkStart w:id="189" w:name="_Toc232302124"/>
      <w:bookmarkStart w:id="190" w:name="_Toc235438000"/>
      <w:bookmarkStart w:id="191" w:name="_Toc254790911"/>
      <w:bookmarkStart w:id="192" w:name="_Toc251613841"/>
      <w:bookmarkStart w:id="193" w:name="_Toc235438354"/>
      <w:bookmarkStart w:id="194" w:name="_Toc255975018"/>
      <w:bookmarkStart w:id="195" w:name="_Toc259692658"/>
      <w:bookmarkStart w:id="196" w:name="_Toc249325722"/>
      <w:bookmarkStart w:id="197" w:name="_Toc266868681"/>
      <w:bookmarkStart w:id="198" w:name="_Toc259692751"/>
      <w:bookmarkStart w:id="199" w:name="_Toc253066626"/>
      <w:bookmarkStart w:id="200" w:name="_Toc251586243"/>
      <w:bookmarkStart w:id="201" w:name="_Toc217891410"/>
      <w:bookmarkStart w:id="202" w:name="_Toc223146616"/>
      <w:bookmarkStart w:id="203" w:name="_Toc259520876"/>
      <w:bookmarkStart w:id="204" w:name="_Toc236021459"/>
      <w:bookmarkStart w:id="205" w:name="_Toc266870443"/>
      <w:bookmarkStart w:id="206" w:name="_Toc266870918"/>
      <w:bookmarkStart w:id="207" w:name="_Toc227058538"/>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outlineLvl w:val="2"/>
        <w:rPr>
          <w:rFonts w:ascii="仿宋" w:hAnsi="仿宋" w:eastAsia="仿宋"/>
          <w:b/>
          <w:color w:val="auto"/>
          <w:sz w:val="28"/>
          <w:szCs w:val="28"/>
        </w:rPr>
      </w:pPr>
    </w:p>
    <w:p>
      <w:pPr>
        <w:jc w:val="center"/>
        <w:rPr>
          <w:rFonts w:ascii="仿宋" w:hAnsi="仿宋" w:eastAsia="仿宋"/>
          <w:b/>
          <w:bCs/>
          <w:color w:val="auto"/>
          <w:sz w:val="36"/>
          <w:szCs w:val="36"/>
        </w:rPr>
      </w:pPr>
    </w:p>
    <w:p>
      <w:pPr>
        <w:jc w:val="center"/>
        <w:rPr>
          <w:rFonts w:ascii="仿宋" w:hAnsi="仿宋" w:eastAsia="仿宋"/>
          <w:b/>
          <w:bCs/>
          <w:color w:val="auto"/>
          <w:sz w:val="36"/>
          <w:szCs w:val="36"/>
        </w:rPr>
      </w:pPr>
    </w:p>
    <w:p>
      <w:pPr>
        <w:jc w:val="center"/>
        <w:rPr>
          <w:rFonts w:ascii="仿宋" w:hAnsi="仿宋" w:eastAsia="仿宋"/>
          <w:b/>
          <w:bCs/>
          <w:color w:val="auto"/>
          <w:sz w:val="36"/>
          <w:szCs w:val="36"/>
        </w:rPr>
      </w:pPr>
    </w:p>
    <w:p>
      <w:pPr>
        <w:jc w:val="center"/>
        <w:rPr>
          <w:rFonts w:ascii="仿宋" w:hAnsi="仿宋" w:eastAsia="仿宋"/>
          <w:b/>
          <w:bCs/>
          <w:color w:val="auto"/>
          <w:sz w:val="36"/>
          <w:szCs w:val="36"/>
        </w:rPr>
      </w:pPr>
    </w:p>
    <w:p>
      <w:pPr>
        <w:spacing w:line="380" w:lineRule="exact"/>
        <w:rPr>
          <w:rFonts w:ascii="仿宋" w:hAnsi="仿宋" w:eastAsia="仿宋"/>
          <w:color w:val="auto"/>
          <w:sz w:val="28"/>
          <w:szCs w:val="28"/>
        </w:rPr>
      </w:pPr>
    </w:p>
    <w:sectPr>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v:textbox>
            </v:shape>
          </w:pict>
        </mc:Fallback>
      </mc:AlternateContent>
    </w:r>
  </w:p>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b/>
        <w:bCs/>
        <w:sz w:val="24"/>
        <w:szCs w:val="24"/>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rPr>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color w:val="auto"/>
        <w:highlight w:val="none"/>
      </w:rPr>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center"/>
      <w:rPr>
        <w:rFonts w:hint="eastAsia"/>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lang w:val="en-US" w:eastAsia="zh-CN"/>
      </w:rPr>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郑州城轨交通中等专业学校走马岗规划设计服务</w:t>
    </w:r>
    <w:r>
      <w:rPr>
        <w:rFonts w:hint="eastAsia" w:ascii="仿宋" w:hAnsi="仿宋" w:eastAsia="仿宋"/>
        <w:b/>
        <w:color w:val="auto"/>
        <w:sz w:val="28"/>
        <w:szCs w:val="28"/>
        <w:highlight w:val="none"/>
      </w:rPr>
      <w:t>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39A8C2"/>
    <w:multiLevelType w:val="singleLevel"/>
    <w:tmpl w:val="F439A8C2"/>
    <w:lvl w:ilvl="0" w:tentative="0">
      <w:start w:val="3"/>
      <w:numFmt w:val="chineseCounting"/>
      <w:suff w:val="nothing"/>
      <w:lvlText w:val="%1、"/>
      <w:lvlJc w:val="left"/>
      <w:rPr>
        <w:rFonts w:hint="eastAsia"/>
      </w:rPr>
    </w:lvl>
  </w:abstractNum>
  <w:abstractNum w:abstractNumId="1">
    <w:nsid w:val="2E2B5225"/>
    <w:multiLevelType w:val="singleLevel"/>
    <w:tmpl w:val="2E2B5225"/>
    <w:lvl w:ilvl="0" w:tentative="0">
      <w:start w:val="3"/>
      <w:numFmt w:val="decimal"/>
      <w:suff w:val="nothing"/>
      <w:lvlText w:val="%1、"/>
      <w:lvlJc w:val="left"/>
    </w:lvl>
  </w:abstractNum>
  <w:abstractNum w:abstractNumId="2">
    <w:nsid w:val="5B7D04AF"/>
    <w:multiLevelType w:val="singleLevel"/>
    <w:tmpl w:val="5B7D04AF"/>
    <w:lvl w:ilvl="0" w:tentative="0">
      <w:start w:val="4"/>
      <w:numFmt w:val="chineseCounting"/>
      <w:suff w:val="nothing"/>
      <w:lvlText w:val="%1、"/>
      <w:lvlJc w:val="left"/>
      <w:rPr>
        <w:rFonts w:hint="eastAsia"/>
      </w:r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33066"/>
    <w:rsid w:val="04BF16CD"/>
    <w:rsid w:val="05D4379F"/>
    <w:rsid w:val="06D147C0"/>
    <w:rsid w:val="06DF5E69"/>
    <w:rsid w:val="07CE53E2"/>
    <w:rsid w:val="099E00F7"/>
    <w:rsid w:val="0A770352"/>
    <w:rsid w:val="0CB72210"/>
    <w:rsid w:val="0CF22188"/>
    <w:rsid w:val="0D624F15"/>
    <w:rsid w:val="10D1690D"/>
    <w:rsid w:val="11043951"/>
    <w:rsid w:val="111206B4"/>
    <w:rsid w:val="12455B4F"/>
    <w:rsid w:val="12DA28EB"/>
    <w:rsid w:val="13EB000E"/>
    <w:rsid w:val="13EF7270"/>
    <w:rsid w:val="143A5800"/>
    <w:rsid w:val="158C5C5D"/>
    <w:rsid w:val="19B501A4"/>
    <w:rsid w:val="1B6B5F16"/>
    <w:rsid w:val="1BF409AA"/>
    <w:rsid w:val="1BFD3472"/>
    <w:rsid w:val="1CC75C2A"/>
    <w:rsid w:val="1D6B21D7"/>
    <w:rsid w:val="1E9729DE"/>
    <w:rsid w:val="20CE7B96"/>
    <w:rsid w:val="20F05343"/>
    <w:rsid w:val="22CD06EB"/>
    <w:rsid w:val="24F968D9"/>
    <w:rsid w:val="25343647"/>
    <w:rsid w:val="25EF12E6"/>
    <w:rsid w:val="274E2FF8"/>
    <w:rsid w:val="2AB5537C"/>
    <w:rsid w:val="2AC50E71"/>
    <w:rsid w:val="2C87225F"/>
    <w:rsid w:val="2E8960F3"/>
    <w:rsid w:val="334018A9"/>
    <w:rsid w:val="34520108"/>
    <w:rsid w:val="35DF3A0C"/>
    <w:rsid w:val="37252F42"/>
    <w:rsid w:val="38BD0E4C"/>
    <w:rsid w:val="399F226E"/>
    <w:rsid w:val="3DD606BC"/>
    <w:rsid w:val="3FDA3FA0"/>
    <w:rsid w:val="404F1F76"/>
    <w:rsid w:val="40AB1536"/>
    <w:rsid w:val="436D091D"/>
    <w:rsid w:val="439D5ED9"/>
    <w:rsid w:val="44E52252"/>
    <w:rsid w:val="46BA2B79"/>
    <w:rsid w:val="46D36123"/>
    <w:rsid w:val="486B6A72"/>
    <w:rsid w:val="4B5A753A"/>
    <w:rsid w:val="4C6304C4"/>
    <w:rsid w:val="4CCB2D14"/>
    <w:rsid w:val="4CE763A1"/>
    <w:rsid w:val="4EA62028"/>
    <w:rsid w:val="4F4069BE"/>
    <w:rsid w:val="4F9413FC"/>
    <w:rsid w:val="4FED42DB"/>
    <w:rsid w:val="50B61D2E"/>
    <w:rsid w:val="50D6661B"/>
    <w:rsid w:val="50E9005B"/>
    <w:rsid w:val="52AB0C28"/>
    <w:rsid w:val="54310541"/>
    <w:rsid w:val="54437337"/>
    <w:rsid w:val="545A4B86"/>
    <w:rsid w:val="57001CC1"/>
    <w:rsid w:val="579E4CA4"/>
    <w:rsid w:val="582E75B9"/>
    <w:rsid w:val="58A14811"/>
    <w:rsid w:val="58C33405"/>
    <w:rsid w:val="5A490F61"/>
    <w:rsid w:val="5A6675AE"/>
    <w:rsid w:val="5AC4139A"/>
    <w:rsid w:val="5AFA3216"/>
    <w:rsid w:val="5EA01DFD"/>
    <w:rsid w:val="5FE54F1B"/>
    <w:rsid w:val="605D5341"/>
    <w:rsid w:val="607626C1"/>
    <w:rsid w:val="62047E47"/>
    <w:rsid w:val="624E4F4E"/>
    <w:rsid w:val="63F14E37"/>
    <w:rsid w:val="64FA40C1"/>
    <w:rsid w:val="65EC31BD"/>
    <w:rsid w:val="669A1497"/>
    <w:rsid w:val="67BD7469"/>
    <w:rsid w:val="69254A37"/>
    <w:rsid w:val="6B4535B6"/>
    <w:rsid w:val="6DC87A8B"/>
    <w:rsid w:val="6EB265E8"/>
    <w:rsid w:val="704733BE"/>
    <w:rsid w:val="70547020"/>
    <w:rsid w:val="706C3625"/>
    <w:rsid w:val="74AF58A4"/>
    <w:rsid w:val="75DA0F0E"/>
    <w:rsid w:val="76A84D9D"/>
    <w:rsid w:val="77025AE4"/>
    <w:rsid w:val="781101E1"/>
    <w:rsid w:val="79E66321"/>
    <w:rsid w:val="7AC7745F"/>
    <w:rsid w:val="7B953384"/>
    <w:rsid w:val="7DFA1AFC"/>
    <w:rsid w:val="7E4B3C53"/>
    <w:rsid w:val="7F01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Body Text Indent 2"/>
    <w:basedOn w:val="1"/>
    <w:unhideWhenUsed/>
    <w:qFormat/>
    <w:uiPriority w:val="99"/>
    <w:pPr>
      <w:spacing w:after="120" w:line="480" w:lineRule="auto"/>
      <w:ind w:left="420" w:leftChars="200"/>
    </w:p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10">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2870</Words>
  <Characters>2998</Characters>
  <Lines>0</Lines>
  <Paragraphs>0</Paragraphs>
  <TotalTime>1</TotalTime>
  <ScaleCrop>false</ScaleCrop>
  <LinksUpToDate>false</LinksUpToDate>
  <CharactersWithSpaces>3838</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2020-12-02T08:58:55Z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