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bookmarkStart w:id="0" w:name="_Hlk38472698"/>
      <w:r>
        <w:rPr>
          <w:rFonts w:hint="eastAsia" w:ascii="仿宋" w:hAnsi="仿宋" w:eastAsia="仿宋" w:cs="仿宋"/>
          <w:b/>
          <w:color w:val="000000" w:themeColor="text1"/>
          <w:sz w:val="72"/>
          <w:szCs w:val="72"/>
          <w:lang w:eastAsia="zh-CN"/>
          <w14:textFill>
            <w14:solidFill>
              <w14:schemeClr w14:val="tx1"/>
            </w14:solidFill>
          </w14:textFill>
        </w:rPr>
        <w:t>郑州城轨交通中等专业</w:t>
      </w:r>
      <w:r>
        <w:rPr>
          <w:rFonts w:hint="eastAsia" w:ascii="仿宋" w:hAnsi="仿宋" w:eastAsia="仿宋" w:cs="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关于</w:t>
      </w:r>
      <w:r>
        <w:rPr>
          <w:rFonts w:hint="eastAsia" w:ascii="仿宋" w:hAnsi="仿宋" w:eastAsia="仿宋" w:cs="仿宋"/>
          <w:b/>
          <w:color w:val="000000" w:themeColor="text1"/>
          <w:sz w:val="44"/>
          <w:szCs w:val="44"/>
          <w:lang w:eastAsia="zh-CN"/>
          <w14:textFill>
            <w14:solidFill>
              <w14:schemeClr w14:val="tx1"/>
            </w14:solidFill>
          </w14:textFill>
        </w:rPr>
        <w:t>餐厅原材料采购</w:t>
      </w:r>
      <w:r>
        <w:rPr>
          <w:rFonts w:hint="eastAsia" w:ascii="仿宋" w:hAnsi="仿宋" w:eastAsia="仿宋" w:cs="仿宋"/>
          <w:b/>
          <w:color w:val="000000" w:themeColor="text1"/>
          <w:sz w:val="44"/>
          <w:szCs w:val="44"/>
          <w14:textFill>
            <w14:solidFill>
              <w14:schemeClr w14:val="tx1"/>
            </w14:solidFill>
          </w14:textFill>
        </w:rPr>
        <w:t>项目</w:t>
      </w:r>
    </w:p>
    <w:bookmarkEnd w:id="0"/>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公</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开</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询</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价</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邀</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请</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函</w:t>
      </w:r>
    </w:p>
    <w:p>
      <w:pPr>
        <w:spacing w:line="500" w:lineRule="exact"/>
        <w:ind w:firstLine="2331" w:firstLineChars="645"/>
        <w:rPr>
          <w:rFonts w:hint="eastAsia" w:ascii="仿宋" w:hAnsi="仿宋" w:eastAsia="仿宋" w:cs="仿宋"/>
          <w:b/>
          <w:color w:val="000000" w:themeColor="text1"/>
          <w:sz w:val="36"/>
          <w:szCs w:val="36"/>
          <w:lang w:val="en-US"/>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项目编号：</w:t>
      </w:r>
      <w:r>
        <w:rPr>
          <w:rFonts w:hint="eastAsia" w:ascii="仿宋" w:hAnsi="仿宋" w:eastAsia="仿宋" w:cs="仿宋"/>
          <w:b/>
          <w:color w:val="000000" w:themeColor="text1"/>
          <w:sz w:val="36"/>
          <w:szCs w:val="36"/>
          <w:lang w:val="en-US" w:eastAsia="zh-CN"/>
          <w14:textFill>
            <w14:solidFill>
              <w14:schemeClr w14:val="tx1"/>
            </w14:solidFill>
          </w14:textFill>
        </w:rPr>
        <w:t>ZZCG20210603</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sectPr>
          <w:headerReference r:id="rId5" w:type="default"/>
          <w:footerReference r:id="rId6" w:type="default"/>
          <w:pgSz w:w="11906" w:h="16838"/>
          <w:pgMar w:top="1440" w:right="1416" w:bottom="1440" w:left="1134" w:header="851" w:footer="227" w:gutter="0"/>
          <w:cols w:space="425" w:num="1"/>
          <w:titlePg/>
          <w:docGrid w:type="lines" w:linePitch="312" w:charSpace="0"/>
        </w:sectPr>
      </w:pPr>
      <w:bookmarkStart w:id="1" w:name="_Toc160880485"/>
      <w:bookmarkStart w:id="2" w:name="_Toc169332792"/>
      <w:bookmarkStart w:id="3" w:name="_Toc160880118"/>
      <w:r>
        <w:rPr>
          <w:rFonts w:hint="eastAsia" w:ascii="仿宋" w:hAnsi="仿宋" w:eastAsia="仿宋" w:cs="仿宋"/>
          <w:b/>
          <w:color w:val="000000" w:themeColor="text1"/>
          <w:sz w:val="36"/>
          <w:szCs w:val="36"/>
          <w14:textFill>
            <w14:solidFill>
              <w14:schemeClr w14:val="tx1"/>
            </w14:solidFill>
          </w14:textFill>
        </w:rPr>
        <w:t>项目名称</w:t>
      </w:r>
      <w:bookmarkEnd w:id="1"/>
      <w:bookmarkEnd w:id="2"/>
      <w:bookmarkEnd w:id="3"/>
      <w:r>
        <w:rPr>
          <w:rFonts w:hint="eastAsia" w:ascii="仿宋" w:hAnsi="仿宋" w:eastAsia="仿宋" w:cs="仿宋"/>
          <w:b/>
          <w:color w:val="000000" w:themeColor="text1"/>
          <w:sz w:val="36"/>
          <w:szCs w:val="36"/>
          <w14:textFill>
            <w14:solidFill>
              <w14:schemeClr w14:val="tx1"/>
            </w14:solidFill>
          </w14:textFill>
        </w:rPr>
        <w:t>：</w:t>
      </w:r>
      <w:bookmarkStart w:id="4" w:name="_Toc251613780"/>
      <w:bookmarkStart w:id="5" w:name="_Toc253066567"/>
      <w:bookmarkStart w:id="6" w:name="_Toc267059161"/>
      <w:bookmarkStart w:id="7" w:name="_Toc160880487"/>
      <w:bookmarkStart w:id="8" w:name="_Toc267059519"/>
      <w:bookmarkStart w:id="9" w:name="_Toc169332794"/>
      <w:bookmarkStart w:id="10" w:name="_Toc212456146"/>
      <w:bookmarkStart w:id="11" w:name="_Toc266870386"/>
      <w:bookmarkStart w:id="12" w:name="_Toc267059010"/>
      <w:bookmarkStart w:id="13" w:name="_Toc251586187"/>
      <w:bookmarkStart w:id="14" w:name="_Toc266870861"/>
      <w:bookmarkStart w:id="15" w:name="_Toc235437942"/>
      <w:bookmarkStart w:id="16" w:name="_Toc249325665"/>
      <w:bookmarkStart w:id="17" w:name="_Toc227058483"/>
      <w:bookmarkStart w:id="18" w:name="_Toc236021402"/>
      <w:bookmarkStart w:id="19" w:name="_Toc235438297"/>
      <w:bookmarkStart w:id="20" w:name="_Toc225669277"/>
      <w:bookmarkStart w:id="21" w:name="_Toc266868624"/>
      <w:bookmarkStart w:id="22" w:name="_Toc223146565"/>
      <w:bookmarkStart w:id="23" w:name="_Toc267060407"/>
      <w:bookmarkStart w:id="24" w:name="_Toc266868924"/>
      <w:bookmarkStart w:id="25" w:name="_Toc273178686"/>
      <w:bookmarkStart w:id="26" w:name="_Toc254790852"/>
      <w:bookmarkStart w:id="27" w:name="_Toc235438227"/>
      <w:bookmarkStart w:id="28" w:name="_Toc267059633"/>
      <w:bookmarkStart w:id="29" w:name="_Toc219800200"/>
      <w:bookmarkStart w:id="30" w:name="_Toc212454753"/>
      <w:bookmarkStart w:id="31" w:name="_Toc259692693"/>
      <w:bookmarkStart w:id="32" w:name="_Toc217891359"/>
      <w:bookmarkStart w:id="33" w:name="_Toc258401210"/>
      <w:bookmarkStart w:id="34" w:name="_Toc177985424"/>
      <w:bookmarkStart w:id="35" w:name="_Toc259692600"/>
      <w:bookmarkStart w:id="36" w:name="_Toc169332904"/>
      <w:bookmarkStart w:id="37" w:name="_Toc267060162"/>
      <w:bookmarkStart w:id="38" w:name="_Toc211937196"/>
      <w:bookmarkStart w:id="39" w:name="_Toc259520819"/>
      <w:bookmarkStart w:id="40" w:name="_Toc207014580"/>
      <w:bookmarkStart w:id="41" w:name="_Toc267060022"/>
      <w:bookmarkStart w:id="42" w:name="_Toc267059899"/>
      <w:bookmarkStart w:id="43" w:name="_Toc212526081"/>
      <w:bookmarkStart w:id="44" w:name="_Toc212530253"/>
      <w:bookmarkStart w:id="45" w:name="_Toc216241307"/>
      <w:bookmarkStart w:id="46" w:name="_Toc267059786"/>
      <w:bookmarkStart w:id="47" w:name="_Toc255974963"/>
      <w:bookmarkStart w:id="48" w:name="_Toc170798743"/>
      <w:r>
        <w:rPr>
          <w:rFonts w:hint="eastAsia" w:ascii="仿宋" w:hAnsi="仿宋" w:eastAsia="仿宋" w:cs="仿宋"/>
          <w:b/>
          <w:color w:val="000000" w:themeColor="text1"/>
          <w:sz w:val="36"/>
          <w:szCs w:val="36"/>
          <w:lang w:eastAsia="zh-CN"/>
          <w14:textFill>
            <w14:solidFill>
              <w14:schemeClr w14:val="tx1"/>
            </w14:solidFill>
          </w14:textFill>
        </w:rPr>
        <w:t>餐厅原材料采购</w:t>
      </w:r>
      <w:r>
        <w:rPr>
          <w:rFonts w:hint="eastAsia" w:ascii="仿宋" w:hAnsi="仿宋" w:eastAsia="仿宋" w:cs="仿宋"/>
          <w:b/>
          <w:color w:val="000000" w:themeColor="text1"/>
          <w:sz w:val="36"/>
          <w:szCs w:val="36"/>
          <w14:textFill>
            <w14:solidFill>
              <w14:schemeClr w14:val="tx1"/>
            </w14:solidFill>
          </w14:textFill>
        </w:rPr>
        <w:t>项目</w:t>
      </w:r>
    </w:p>
    <w:p>
      <w:pPr>
        <w:pStyle w:val="53"/>
        <w:spacing w:line="360" w:lineRule="auto"/>
        <w:jc w:val="center"/>
        <w:outlineLvl w:val="0"/>
        <w:rPr>
          <w:rFonts w:hint="eastAsia" w:ascii="仿宋" w:hAnsi="仿宋" w:eastAsia="仿宋" w:cs="仿宋"/>
          <w:b/>
          <w:color w:val="000000" w:themeColor="text1"/>
          <w:sz w:val="44"/>
          <w:szCs w:val="44"/>
          <w14:textFill>
            <w14:solidFill>
              <w14:schemeClr w14:val="tx1"/>
            </w14:solidFill>
          </w14:textFill>
        </w:rPr>
      </w:pPr>
      <w:bookmarkStart w:id="324" w:name="_GoBack"/>
      <w:r>
        <w:rPr>
          <w:rFonts w:hint="eastAsia" w:ascii="仿宋" w:hAnsi="仿宋" w:eastAsia="仿宋" w:cs="仿宋"/>
          <w:b/>
          <w:color w:val="000000" w:themeColor="text1"/>
          <w:sz w:val="44"/>
          <w:szCs w:val="44"/>
          <w14:textFill>
            <w14:solidFill>
              <w14:schemeClr w14:val="tx1"/>
            </w14:solidFill>
          </w14:textFill>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cs="仿宋"/>
          <w:b/>
          <w:color w:val="000000" w:themeColor="text1"/>
          <w:sz w:val="44"/>
          <w:szCs w:val="44"/>
          <w14:textFill>
            <w14:solidFill>
              <w14:schemeClr w14:val="tx1"/>
            </w14:solidFill>
          </w14:textFill>
        </w:rPr>
        <w:t>函</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bookmarkStart w:id="49" w:name="_Hlk10840310"/>
      <w:r>
        <w:rPr>
          <w:rFonts w:hint="eastAsia" w:ascii="仿宋" w:hAnsi="仿宋" w:eastAsia="仿宋" w:cs="仿宋"/>
          <w:color w:val="000000" w:themeColor="text1"/>
          <w:sz w:val="28"/>
          <w:szCs w:val="28"/>
          <w14:textFill>
            <w14:solidFill>
              <w14:schemeClr w14:val="tx1"/>
            </w14:solidFill>
          </w14:textFill>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学校关于</w:t>
      </w:r>
      <w:r>
        <w:rPr>
          <w:rFonts w:hint="eastAsia" w:ascii="仿宋" w:hAnsi="仿宋" w:eastAsia="仿宋" w:cs="仿宋"/>
          <w:color w:val="000000" w:themeColor="text1"/>
          <w:sz w:val="28"/>
          <w:szCs w:val="28"/>
          <w:lang w:eastAsia="zh-CN"/>
          <w14:textFill>
            <w14:solidFill>
              <w14:schemeClr w14:val="tx1"/>
            </w14:solidFill>
          </w14:textFill>
        </w:rPr>
        <w:t>餐厅原材料采购</w:t>
      </w:r>
      <w:r>
        <w:rPr>
          <w:rFonts w:hint="eastAsia" w:ascii="仿宋" w:hAnsi="仿宋" w:eastAsia="仿宋" w:cs="仿宋"/>
          <w:color w:val="000000" w:themeColor="text1"/>
          <w:sz w:val="28"/>
          <w:szCs w:val="28"/>
          <w14:textFill>
            <w14:solidFill>
              <w14:schemeClr w14:val="tx1"/>
            </w14:solidFill>
          </w14:textFill>
        </w:rPr>
        <w:t>项目公开询价，欢迎国内合格参与人参与。</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一、项目说明</w:t>
      </w:r>
    </w:p>
    <w:p>
      <w:pPr>
        <w:widowControl w:val="0"/>
        <w:numPr>
          <w:ilvl w:val="1"/>
          <w:numId w:val="1"/>
        </w:num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项目编号：</w:t>
      </w:r>
      <w:r>
        <w:rPr>
          <w:rFonts w:hint="eastAsia" w:ascii="仿宋" w:hAnsi="仿宋" w:eastAsia="仿宋" w:cs="仿宋"/>
          <w:color w:val="000000" w:themeColor="text1"/>
          <w:sz w:val="28"/>
          <w:szCs w:val="28"/>
          <w:lang w:val="en-US" w:eastAsia="zh-CN"/>
          <w14:textFill>
            <w14:solidFill>
              <w14:schemeClr w14:val="tx1"/>
            </w14:solidFill>
          </w14:textFill>
        </w:rPr>
        <w:t>ZZCG20210603</w:t>
      </w:r>
    </w:p>
    <w:p>
      <w:pPr>
        <w:widowControl w:val="0"/>
        <w:numPr>
          <w:ilvl w:val="1"/>
          <w:numId w:val="1"/>
        </w:numPr>
        <w:spacing w:after="0" w:line="500" w:lineRule="exact"/>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项目名称：</w:t>
      </w:r>
      <w:r>
        <w:rPr>
          <w:rFonts w:hint="eastAsia" w:ascii="仿宋" w:hAnsi="仿宋" w:eastAsia="仿宋" w:cs="仿宋"/>
          <w:color w:val="000000" w:themeColor="text1"/>
          <w:sz w:val="28"/>
          <w:szCs w:val="28"/>
          <w:highlight w:val="none"/>
          <w:lang w:eastAsia="zh-CN"/>
          <w14:textFill>
            <w14:solidFill>
              <w14:schemeClr w14:val="tx1"/>
            </w14:solidFill>
          </w14:textFill>
        </w:rPr>
        <w:t>餐厅原材料采购</w:t>
      </w:r>
      <w:r>
        <w:rPr>
          <w:rFonts w:hint="eastAsia" w:ascii="仿宋" w:hAnsi="仿宋" w:eastAsia="仿宋" w:cs="仿宋"/>
          <w:color w:val="000000" w:themeColor="text1"/>
          <w:sz w:val="28"/>
          <w:szCs w:val="28"/>
          <w:highlight w:val="none"/>
          <w14:textFill>
            <w14:solidFill>
              <w14:schemeClr w14:val="tx1"/>
            </w14:solidFill>
          </w14:textFill>
        </w:rPr>
        <w:t>项目</w:t>
      </w:r>
    </w:p>
    <w:p>
      <w:pPr>
        <w:widowControl w:val="0"/>
        <w:numPr>
          <w:ilvl w:val="1"/>
          <w:numId w:val="1"/>
        </w:numPr>
        <w:spacing w:after="0" w:line="500" w:lineRule="exact"/>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数量及主要技术要求:详见《公开询价项目介绍》</w:t>
      </w:r>
      <w:r>
        <w:rPr>
          <w:rFonts w:hint="eastAsia" w:ascii="仿宋" w:hAnsi="仿宋" w:eastAsia="仿宋" w:cs="仿宋"/>
          <w:color w:val="000000" w:themeColor="text1"/>
          <w:sz w:val="28"/>
          <w:szCs w:val="28"/>
          <w:highlight w:val="none"/>
          <w:lang w:eastAsia="zh-CN"/>
          <w14:textFill>
            <w14:solidFill>
              <w14:schemeClr w14:val="tx1"/>
            </w14:solidFill>
          </w14:textFill>
        </w:rPr>
        <w:t>。</w:t>
      </w:r>
    </w:p>
    <w:p>
      <w:pPr>
        <w:widowControl w:val="0"/>
        <w:numPr>
          <w:ilvl w:val="1"/>
          <w:numId w:val="1"/>
        </w:numPr>
        <w:spacing w:after="0" w:line="500" w:lineRule="exact"/>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参与人资格标准：</w:t>
      </w:r>
    </w:p>
    <w:p>
      <w:pPr>
        <w:spacing w:after="0" w:line="500" w:lineRule="exact"/>
        <w:ind w:left="1410" w:leftChars="322" w:hanging="702" w:hangingChars="251"/>
        <w:jc w:val="left"/>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（1）参与人应具有独</w:t>
      </w:r>
      <w:r>
        <w:rPr>
          <w:rFonts w:hint="eastAsia" w:ascii="仿宋" w:hAnsi="仿宋" w:eastAsia="仿宋" w:cs="仿宋"/>
          <w:color w:val="000000" w:themeColor="text1"/>
          <w:sz w:val="28"/>
          <w:szCs w:val="28"/>
          <w14:textFill>
            <w14:solidFill>
              <w14:schemeClr w14:val="tx1"/>
            </w14:solidFill>
          </w14:textFill>
        </w:rPr>
        <w:t>立法人资格的生产厂商或授权代理商</w:t>
      </w:r>
      <w:r>
        <w:rPr>
          <w:rFonts w:hint="eastAsia" w:ascii="仿宋" w:hAnsi="仿宋" w:eastAsia="仿宋" w:cs="仿宋"/>
          <w:color w:val="000000" w:themeColor="text1"/>
          <w:sz w:val="28"/>
          <w:szCs w:val="28"/>
          <w:lang w:eastAsia="zh-CN"/>
          <w14:textFill>
            <w14:solidFill>
              <w14:schemeClr w14:val="tx1"/>
            </w14:solidFill>
          </w14:textFill>
        </w:rPr>
        <w:t>，生产厂商须具有营业执照、税务登记证、生产许可证、年度检验报告等食品安全相关证书。代理商应具有营业执照、食品经营许可证等食品安全相关证书。</w:t>
      </w:r>
    </w:p>
    <w:p>
      <w:pPr>
        <w:spacing w:after="0" w:line="50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（2）参与人应具有</w:t>
      </w:r>
      <w:r>
        <w:rPr>
          <w:rFonts w:hint="eastAsia" w:ascii="仿宋" w:hAnsi="仿宋" w:eastAsia="仿宋" w:cs="仿宋"/>
          <w:color w:val="000000" w:themeColor="text1"/>
          <w:sz w:val="28"/>
          <w:szCs w:val="28"/>
          <w:lang w:eastAsia="zh-CN"/>
          <w14:textFill>
            <w14:solidFill>
              <w14:schemeClr w14:val="tx1"/>
            </w14:solidFill>
          </w14:textFill>
        </w:rPr>
        <w:t>食品经营的</w:t>
      </w:r>
      <w:r>
        <w:rPr>
          <w:rFonts w:hint="eastAsia" w:ascii="仿宋" w:hAnsi="仿宋" w:eastAsia="仿宋" w:cs="仿宋"/>
          <w:color w:val="000000" w:themeColor="text1"/>
          <w:sz w:val="28"/>
          <w:szCs w:val="28"/>
          <w14:textFill>
            <w14:solidFill>
              <w14:schemeClr w14:val="tx1"/>
            </w14:solidFill>
          </w14:textFill>
        </w:rPr>
        <w:t>资格及能力。在</w:t>
      </w:r>
      <w:r>
        <w:rPr>
          <w:rFonts w:hint="eastAsia" w:ascii="仿宋" w:hAnsi="仿宋" w:eastAsia="仿宋" w:cs="仿宋"/>
          <w:color w:val="000000" w:themeColor="text1"/>
          <w:sz w:val="28"/>
          <w:szCs w:val="28"/>
          <w:lang w:eastAsia="zh-CN"/>
          <w14:textFill>
            <w14:solidFill>
              <w14:schemeClr w14:val="tx1"/>
            </w14:solidFill>
          </w14:textFill>
        </w:rPr>
        <w:t>河南省</w:t>
      </w:r>
      <w:r>
        <w:rPr>
          <w:rFonts w:hint="eastAsia" w:ascii="仿宋" w:hAnsi="仿宋" w:eastAsia="仿宋" w:cs="仿宋"/>
          <w:color w:val="000000" w:themeColor="text1"/>
          <w:sz w:val="28"/>
          <w:szCs w:val="28"/>
          <w14:textFill>
            <w14:solidFill>
              <w14:schemeClr w14:val="tx1"/>
            </w14:solidFill>
          </w14:textFill>
        </w:rPr>
        <w:t>范围</w:t>
      </w:r>
      <w:r>
        <w:rPr>
          <w:rFonts w:hint="eastAsia" w:ascii="仿宋" w:hAnsi="仿宋" w:eastAsia="仿宋" w:cs="仿宋"/>
          <w:color w:val="000000" w:themeColor="text1"/>
          <w:sz w:val="28"/>
          <w:szCs w:val="28"/>
          <w:lang w:eastAsia="zh-CN"/>
          <w14:textFill>
            <w14:solidFill>
              <w14:schemeClr w14:val="tx1"/>
            </w14:solidFill>
          </w14:textFill>
        </w:rPr>
        <w:t>内</w:t>
      </w:r>
      <w:r>
        <w:rPr>
          <w:rFonts w:hint="eastAsia" w:ascii="仿宋" w:hAnsi="仿宋" w:eastAsia="仿宋" w:cs="仿宋"/>
          <w:color w:val="000000" w:themeColor="text1"/>
          <w:sz w:val="28"/>
          <w:szCs w:val="28"/>
          <w14:textFill>
            <w14:solidFill>
              <w14:schemeClr w14:val="tx1"/>
            </w14:solidFill>
          </w14:textFill>
        </w:rPr>
        <w:t>有固定</w:t>
      </w:r>
      <w:r>
        <w:rPr>
          <w:rFonts w:hint="eastAsia" w:ascii="仿宋" w:hAnsi="仿宋" w:eastAsia="仿宋" w:cs="仿宋"/>
          <w:color w:val="000000" w:themeColor="text1"/>
          <w:sz w:val="28"/>
          <w:szCs w:val="28"/>
          <w:lang w:eastAsia="zh-CN"/>
          <w14:textFill>
            <w14:solidFill>
              <w14:schemeClr w14:val="tx1"/>
            </w14:solidFill>
          </w14:textFill>
        </w:rPr>
        <w:t>售卖点或</w:t>
      </w:r>
      <w:r>
        <w:rPr>
          <w:rFonts w:hint="eastAsia" w:ascii="仿宋" w:hAnsi="仿宋" w:eastAsia="仿宋" w:cs="仿宋"/>
          <w:color w:val="000000" w:themeColor="text1"/>
          <w:sz w:val="28"/>
          <w:szCs w:val="28"/>
          <w14:textFill>
            <w14:solidFill>
              <w14:schemeClr w14:val="tx1"/>
            </w14:solidFill>
          </w14:textFill>
        </w:rPr>
        <w:t>售后服务机构，具备相应的</w:t>
      </w:r>
      <w:r>
        <w:rPr>
          <w:rFonts w:hint="eastAsia" w:ascii="仿宋" w:hAnsi="仿宋" w:eastAsia="仿宋" w:cs="仿宋"/>
          <w:color w:val="000000" w:themeColor="text1"/>
          <w:sz w:val="28"/>
          <w:szCs w:val="28"/>
          <w:lang w:eastAsia="zh-CN"/>
          <w14:textFill>
            <w14:solidFill>
              <w14:schemeClr w14:val="tx1"/>
            </w14:solidFill>
          </w14:textFill>
        </w:rPr>
        <w:t>供货配送</w:t>
      </w:r>
      <w:r>
        <w:rPr>
          <w:rFonts w:hint="eastAsia" w:ascii="仿宋" w:hAnsi="仿宋" w:eastAsia="仿宋" w:cs="仿宋"/>
          <w:color w:val="000000" w:themeColor="text1"/>
          <w:sz w:val="28"/>
          <w:szCs w:val="28"/>
          <w14:textFill>
            <w14:solidFill>
              <w14:schemeClr w14:val="tx1"/>
            </w14:solidFill>
          </w14:textFill>
        </w:rPr>
        <w:t>能力。</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（3）参与人应遵守中国的有关法律、法规和规章的规定。</w:t>
      </w:r>
    </w:p>
    <w:p>
      <w:pPr>
        <w:spacing w:after="0" w:line="50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（4）参与人具有</w:t>
      </w: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年以</w:t>
      </w:r>
      <w:r>
        <w:rPr>
          <w:rFonts w:hint="eastAsia" w:ascii="仿宋" w:hAnsi="仿宋" w:eastAsia="仿宋" w:cs="仿宋"/>
          <w:color w:val="000000" w:themeColor="text1"/>
          <w:sz w:val="28"/>
          <w:szCs w:val="28"/>
          <w:lang w:eastAsia="zh-CN"/>
          <w14:textFill>
            <w14:solidFill>
              <w14:schemeClr w14:val="tx1"/>
            </w14:solidFill>
          </w14:textFill>
        </w:rPr>
        <w:t>上</w:t>
      </w:r>
      <w:r>
        <w:rPr>
          <w:rFonts w:hint="eastAsia" w:ascii="仿宋" w:hAnsi="仿宋" w:eastAsia="仿宋" w:cs="仿宋"/>
          <w:color w:val="000000" w:themeColor="text1"/>
          <w:sz w:val="28"/>
          <w:szCs w:val="28"/>
          <w14:textFill>
            <w14:solidFill>
              <w14:schemeClr w14:val="tx1"/>
            </w14:solidFill>
          </w14:textFill>
        </w:rPr>
        <w:t>（包括</w:t>
      </w: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个以上同类项目销售和良好的售后服务成功案例,近三年未发生重大</w:t>
      </w:r>
      <w:r>
        <w:rPr>
          <w:rFonts w:hint="eastAsia" w:ascii="仿宋" w:hAnsi="仿宋" w:eastAsia="仿宋" w:cs="仿宋"/>
          <w:color w:val="000000" w:themeColor="text1"/>
          <w:sz w:val="28"/>
          <w:szCs w:val="28"/>
          <w:lang w:eastAsia="zh-CN"/>
          <w14:textFill>
            <w14:solidFill>
              <w14:schemeClr w14:val="tx1"/>
            </w14:solidFill>
          </w14:textFill>
        </w:rPr>
        <w:t>食品</w:t>
      </w:r>
      <w:r>
        <w:rPr>
          <w:rFonts w:hint="eastAsia" w:ascii="仿宋" w:hAnsi="仿宋" w:eastAsia="仿宋" w:cs="仿宋"/>
          <w:color w:val="000000" w:themeColor="text1"/>
          <w:sz w:val="28"/>
          <w:szCs w:val="28"/>
          <w14:textFill>
            <w14:solidFill>
              <w14:schemeClr w14:val="tx1"/>
            </w14:solidFill>
          </w14:textFill>
        </w:rPr>
        <w:t>安全或质量事故。</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（5）参与人须有良好的商业信誉和健全的财务制度。</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（6）参与人有依法缴纳税金的良好记录。</w:t>
      </w:r>
    </w:p>
    <w:p>
      <w:pPr>
        <w:widowControl w:val="0"/>
        <w:numPr>
          <w:ilvl w:val="1"/>
          <w:numId w:val="1"/>
        </w:numPr>
        <w:spacing w:after="0" w:line="500" w:lineRule="exact"/>
        <w:rPr>
          <w:rFonts w:hint="eastAsia"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报价响应文件递交方式：密封报价并邮寄。</w:t>
      </w:r>
    </w:p>
    <w:p>
      <w:pPr>
        <w:widowControl w:val="0"/>
        <w:numPr>
          <w:ilvl w:val="1"/>
          <w:numId w:val="1"/>
        </w:numPr>
        <w:spacing w:after="0" w:line="500" w:lineRule="exact"/>
        <w:rPr>
          <w:rFonts w:hint="eastAsia"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报价响应文件递交截止时间</w:t>
      </w:r>
      <w:r>
        <w:rPr>
          <w:rFonts w:hint="eastAsia" w:ascii="仿宋" w:hAnsi="仿宋" w:eastAsia="仿宋" w:cs="仿宋"/>
          <w:color w:val="000000" w:themeColor="text1"/>
          <w:sz w:val="28"/>
          <w:szCs w:val="28"/>
          <w:shd w:val="clear" w:color="auto" w:fill="FFFFFF"/>
          <w14:textFill>
            <w14:solidFill>
              <w14:schemeClr w14:val="tx1"/>
            </w14:solidFill>
          </w14:textFill>
        </w:rPr>
        <w:t>：20</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21</w:t>
      </w:r>
      <w:r>
        <w:rPr>
          <w:rFonts w:hint="eastAsia" w:ascii="仿宋" w:hAnsi="仿宋" w:eastAsia="仿宋" w:cs="仿宋"/>
          <w:color w:val="000000" w:themeColor="text1"/>
          <w:sz w:val="28"/>
          <w:szCs w:val="28"/>
          <w:shd w:val="clear" w:color="auto" w:fill="FFFFFF"/>
          <w14:textFill>
            <w14:solidFill>
              <w14:schemeClr w14:val="tx1"/>
            </w14:solidFill>
          </w14:textFill>
        </w:rPr>
        <w:t>年</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6</w:t>
      </w:r>
      <w:r>
        <w:rPr>
          <w:rFonts w:hint="eastAsia" w:ascii="仿宋" w:hAnsi="仿宋" w:eastAsia="仿宋" w:cs="仿宋"/>
          <w:color w:val="000000" w:themeColor="text1"/>
          <w:sz w:val="28"/>
          <w:szCs w:val="28"/>
          <w:shd w:val="clear" w:color="auto" w:fill="FFFFFF"/>
          <w14:textFill>
            <w14:solidFill>
              <w14:schemeClr w14:val="tx1"/>
            </w14:solidFill>
          </w14:textFill>
        </w:rPr>
        <w:t>月</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15</w:t>
      </w:r>
      <w:r>
        <w:rPr>
          <w:rFonts w:hint="eastAsia" w:ascii="仿宋" w:hAnsi="仿宋" w:eastAsia="仿宋" w:cs="仿宋"/>
          <w:color w:val="000000" w:themeColor="text1"/>
          <w:sz w:val="28"/>
          <w:szCs w:val="28"/>
          <w:shd w:val="clear" w:color="auto" w:fill="FFFFFF"/>
          <w14:textFill>
            <w14:solidFill>
              <w14:schemeClr w14:val="tx1"/>
            </w14:solidFill>
          </w14:textFill>
        </w:rPr>
        <w:t>日下午16:00前（以参与人快递寄出时间为准）。</w:t>
      </w:r>
    </w:p>
    <w:p>
      <w:pPr>
        <w:spacing w:after="0" w:line="500" w:lineRule="exact"/>
        <w:ind w:left="699" w:leftChars="254" w:hanging="140" w:hangingChars="5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7. 报价响应文件递交地点：</w:t>
      </w:r>
      <w:r>
        <w:rPr>
          <w:rFonts w:hint="eastAsia" w:ascii="仿宋" w:hAnsi="仿宋" w:eastAsia="仿宋" w:cs="仿宋"/>
          <w:color w:val="000000" w:themeColor="text1"/>
          <w:sz w:val="28"/>
          <w:szCs w:val="28"/>
          <w:lang w:eastAsia="zh-CN"/>
          <w14:textFill>
            <w14:solidFill>
              <w14:schemeClr w14:val="tx1"/>
            </w14:solidFill>
          </w14:textFill>
        </w:rPr>
        <w:t>郑州城轨交通中等专业学校行政楼二楼采购管理科</w:t>
      </w:r>
      <w:r>
        <w:rPr>
          <w:rFonts w:hint="eastAsia" w:ascii="仿宋" w:hAnsi="仿宋" w:eastAsia="仿宋" w:cs="仿宋"/>
          <w:color w:val="000000" w:themeColor="text1"/>
          <w:sz w:val="28"/>
          <w:szCs w:val="28"/>
          <w14:textFill>
            <w14:solidFill>
              <w14:schemeClr w14:val="tx1"/>
            </w14:solidFill>
          </w14:textFill>
        </w:rPr>
        <w:t>。</w:t>
      </w:r>
    </w:p>
    <w:p>
      <w:pPr>
        <w:spacing w:after="0" w:line="500" w:lineRule="exact"/>
        <w:ind w:left="839"/>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联系人：</w:t>
      </w:r>
      <w:r>
        <w:rPr>
          <w:rFonts w:hint="eastAsia" w:ascii="仿宋" w:hAnsi="仿宋" w:eastAsia="仿宋" w:cs="仿宋"/>
          <w:color w:val="000000" w:themeColor="text1"/>
          <w:sz w:val="28"/>
          <w:szCs w:val="28"/>
          <w:lang w:eastAsia="zh-CN"/>
          <w14:textFill>
            <w14:solidFill>
              <w14:schemeClr w14:val="tx1"/>
            </w14:solidFill>
          </w14:textFill>
        </w:rPr>
        <w:t>张永强</w:t>
      </w:r>
      <w:r>
        <w:rPr>
          <w:rFonts w:hint="eastAsia" w:ascii="仿宋" w:hAnsi="仿宋" w:eastAsia="仿宋" w:cs="仿宋"/>
          <w:color w:val="000000" w:themeColor="text1"/>
          <w:sz w:val="28"/>
          <w:szCs w:val="28"/>
          <w:lang w:val="en-US" w:eastAsia="zh-CN"/>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联系电话：</w:t>
      </w:r>
      <w:r>
        <w:rPr>
          <w:rFonts w:hint="eastAsia" w:ascii="仿宋" w:hAnsi="仿宋" w:eastAsia="仿宋" w:cs="仿宋"/>
          <w:color w:val="000000" w:themeColor="text1"/>
          <w:sz w:val="28"/>
          <w:szCs w:val="28"/>
          <w:lang w:val="en-US" w:eastAsia="zh-CN"/>
          <w14:textFill>
            <w14:solidFill>
              <w14:schemeClr w14:val="tx1"/>
            </w14:solidFill>
          </w14:textFill>
        </w:rPr>
        <w:t>18537172600</w:t>
      </w:r>
    </w:p>
    <w:p>
      <w:pPr>
        <w:spacing w:after="0" w:line="500" w:lineRule="exact"/>
        <w:ind w:left="839"/>
        <w:rPr>
          <w:rFonts w:hint="eastAsia" w:ascii="仿宋" w:hAnsi="仿宋" w:eastAsia="仿宋" w:cs="仿宋"/>
          <w:color w:val="000000" w:themeColor="text1"/>
          <w:sz w:val="28"/>
          <w:szCs w:val="28"/>
          <w:lang w:val="en-US"/>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项目答疑：司林坡       联系电话：15138984545</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二、参与人须知</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所有货物均以人民币报价；</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报价响应文件</w:t>
      </w:r>
      <w:r>
        <w:rPr>
          <w:rFonts w:hint="eastAsia" w:ascii="仿宋" w:hAnsi="仿宋" w:eastAsia="仿宋" w:cs="仿宋"/>
          <w:color w:val="000000" w:themeColor="text1"/>
          <w:sz w:val="28"/>
          <w:szCs w:val="28"/>
          <w:lang w:eastAsia="zh-CN"/>
          <w14:textFill>
            <w14:solidFill>
              <w14:schemeClr w14:val="tx1"/>
            </w14:solidFill>
          </w14:textFill>
        </w:rPr>
        <w:t>贰</w:t>
      </w:r>
      <w:r>
        <w:rPr>
          <w:rFonts w:hint="eastAsia" w:ascii="仿宋" w:hAnsi="仿宋" w:eastAsia="仿宋" w:cs="仿宋"/>
          <w:color w:val="000000" w:themeColor="text1"/>
          <w:sz w:val="28"/>
          <w:szCs w:val="28"/>
          <w14:textFill>
            <w14:solidFill>
              <w14:schemeClr w14:val="tx1"/>
            </w14:solidFill>
          </w14:textFill>
        </w:rPr>
        <w:t>份，报价响应文件必须用A4幅面纸张打印，须由参与人填写并加盖公章（正本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份副本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报价响应文件用不退色墨水书写或打印，因字迹潦草或表达不清所引起的后果由参与人自负；</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4. </w:t>
      </w:r>
      <w:r>
        <w:rPr>
          <w:rFonts w:hint="eastAsia" w:ascii="仿宋" w:hAnsi="仿宋" w:eastAsia="仿宋" w:cs="仿宋"/>
          <w:b/>
          <w:bCs/>
          <w:color w:val="000000" w:themeColor="text1"/>
          <w:sz w:val="28"/>
          <w:szCs w:val="28"/>
          <w14:textFill>
            <w14:solidFill>
              <w14:schemeClr w14:val="tx1"/>
            </w14:solidFill>
          </w14:textFill>
        </w:rPr>
        <w:t>报价响应文件及所有相关资料需同时进行密封处理，并在密封处加盖公章，未做密封处理及未加盖公章的视为无效报价；</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 一个参与人只能提交一个报价响应文件。但如果参与人之间存在下列互为关联关系情形之一的，不得同时参加本项目报价：</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法定代表人为同一人的两个及两个以上法人；</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母公司、直接或间接持股50％及以上的被投资公司;</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均为同一家母公司直接或间接持股50％及以上的被投资公司。</w:t>
      </w:r>
    </w:p>
    <w:p>
      <w:pPr>
        <w:widowControl w:val="0"/>
        <w:spacing w:after="0" w:line="500" w:lineRule="exact"/>
        <w:ind w:left="426"/>
        <w:jc w:val="left"/>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6.本项目最终成交结果会在中教集团后勤贤知平台“中标信息公示”板块公示，网址：www.ceghqxz.com。本项目监督投诉部门：中教集团内控部；投诉电话：0791-88102608；投诉邮箱：Neikongbu@educationgroup.cn</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三、售后服务要求</w:t>
      </w:r>
    </w:p>
    <w:p>
      <w:pPr>
        <w:widowControl w:val="0"/>
        <w:spacing w:after="0" w:line="500" w:lineRule="exact"/>
        <w:ind w:left="426"/>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免费</w:t>
      </w:r>
      <w:r>
        <w:rPr>
          <w:rFonts w:hint="eastAsia" w:ascii="仿宋" w:hAnsi="仿宋" w:eastAsia="仿宋" w:cs="仿宋"/>
          <w:color w:val="000000" w:themeColor="text1"/>
          <w:sz w:val="28"/>
          <w:szCs w:val="28"/>
          <w:lang w:eastAsia="zh-CN"/>
          <w14:textFill>
            <w14:solidFill>
              <w14:schemeClr w14:val="tx1"/>
            </w14:solidFill>
          </w14:textFill>
        </w:rPr>
        <w:t>调换</w:t>
      </w:r>
      <w:r>
        <w:rPr>
          <w:rFonts w:hint="eastAsia" w:ascii="仿宋" w:hAnsi="仿宋" w:eastAsia="仿宋" w:cs="仿宋"/>
          <w:color w:val="000000" w:themeColor="text1"/>
          <w:sz w:val="28"/>
          <w:szCs w:val="28"/>
          <w14:textFill>
            <w14:solidFill>
              <w14:schemeClr w14:val="tx1"/>
            </w14:solidFill>
          </w14:textFill>
        </w:rPr>
        <w:t>期；</w:t>
      </w:r>
      <w:r>
        <w:rPr>
          <w:rFonts w:hint="eastAsia" w:ascii="仿宋" w:hAnsi="仿宋" w:eastAsia="仿宋" w:cs="仿宋"/>
          <w:color w:val="000000" w:themeColor="text1"/>
          <w:sz w:val="28"/>
          <w:szCs w:val="28"/>
          <w:lang w:val="en-US" w:eastAsia="zh-CN"/>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2. 应急</w:t>
      </w:r>
      <w:r>
        <w:rPr>
          <w:rFonts w:hint="eastAsia" w:ascii="仿宋" w:hAnsi="仿宋" w:eastAsia="仿宋" w:cs="仿宋"/>
          <w:color w:val="000000" w:themeColor="text1"/>
          <w:sz w:val="28"/>
          <w:szCs w:val="28"/>
          <w:lang w:eastAsia="zh-CN"/>
          <w14:textFill>
            <w14:solidFill>
              <w14:schemeClr w14:val="tx1"/>
            </w14:solidFill>
          </w14:textFill>
        </w:rPr>
        <w:t>供货</w:t>
      </w:r>
      <w:r>
        <w:rPr>
          <w:rFonts w:hint="eastAsia" w:ascii="仿宋" w:hAnsi="仿宋" w:eastAsia="仿宋" w:cs="仿宋"/>
          <w:color w:val="000000" w:themeColor="text1"/>
          <w:sz w:val="28"/>
          <w:szCs w:val="28"/>
          <w14:textFill>
            <w14:solidFill>
              <w14:schemeClr w14:val="tx1"/>
            </w14:solidFill>
          </w14:textFill>
        </w:rPr>
        <w:t>时间安排；</w:t>
      </w:r>
    </w:p>
    <w:p>
      <w:pPr>
        <w:widowControl w:val="0"/>
        <w:spacing w:after="0" w:line="500" w:lineRule="exact"/>
        <w:ind w:firstLine="280" w:firstLineChars="100"/>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 xml:space="preserve"> 3</w:t>
      </w:r>
      <w:r>
        <w:rPr>
          <w:rFonts w:hint="eastAsia" w:ascii="仿宋" w:hAnsi="仿宋" w:eastAsia="仿宋" w:cs="仿宋"/>
          <w:color w:val="000000" w:themeColor="text1"/>
          <w:sz w:val="28"/>
          <w:szCs w:val="28"/>
          <w14:textFill>
            <w14:solidFill>
              <w14:schemeClr w14:val="tx1"/>
            </w14:solidFill>
          </w14:textFill>
        </w:rPr>
        <w:t xml:space="preserve">. </w:t>
      </w:r>
      <w:r>
        <w:rPr>
          <w:rFonts w:hint="eastAsia" w:ascii="仿宋" w:hAnsi="仿宋" w:eastAsia="仿宋" w:cs="仿宋"/>
          <w:color w:val="000000" w:themeColor="text1"/>
          <w:sz w:val="28"/>
          <w:szCs w:val="28"/>
          <w:lang w:eastAsia="zh-CN"/>
          <w14:textFill>
            <w14:solidFill>
              <w14:schemeClr w14:val="tx1"/>
            </w14:solidFill>
          </w14:textFill>
        </w:rPr>
        <w:t>售后服务</w:t>
      </w:r>
      <w:r>
        <w:rPr>
          <w:rFonts w:hint="eastAsia" w:ascii="仿宋" w:hAnsi="仿宋" w:eastAsia="仿宋" w:cs="仿宋"/>
          <w:color w:val="000000" w:themeColor="text1"/>
          <w:sz w:val="28"/>
          <w:szCs w:val="28"/>
          <w14:textFill>
            <w14:solidFill>
              <w14:schemeClr w14:val="tx1"/>
            </w14:solidFill>
          </w14:textFill>
        </w:rPr>
        <w:t>地址、联系电话及联系人员；</w:t>
      </w:r>
      <w:r>
        <w:rPr>
          <w:rFonts w:hint="eastAsia" w:ascii="仿宋" w:hAnsi="仿宋" w:eastAsia="仿宋" w:cs="仿宋"/>
          <w:color w:val="000000" w:themeColor="text1"/>
          <w:sz w:val="28"/>
          <w:szCs w:val="28"/>
          <w:lang w:val="en-US" w:eastAsia="zh-CN"/>
          <w14:textFill>
            <w14:solidFill>
              <w14:schemeClr w14:val="tx1"/>
            </w14:solidFill>
          </w14:textFill>
        </w:rPr>
        <w:t xml:space="preserve">    4.配送车辆信息</w:t>
      </w:r>
    </w:p>
    <w:p>
      <w:pPr>
        <w:widowControl w:val="0"/>
        <w:spacing w:after="0" w:line="500" w:lineRule="exact"/>
        <w:ind w:firstLine="560" w:firstLineChars="200"/>
        <w:jc w:val="left"/>
        <w:rPr>
          <w:rFonts w:hint="eastAsia" w:ascii="仿宋" w:hAnsi="仿宋" w:eastAsia="仿宋" w:cs="仿宋"/>
          <w:color w:val="000000" w:themeColor="text1"/>
          <w:sz w:val="28"/>
          <w:szCs w:val="28"/>
          <w:lang w:val="en-US"/>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 xml:space="preserve">5.食品安全质量保证说明   </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四、确定成交参与人标准及原则：</w:t>
      </w:r>
    </w:p>
    <w:p>
      <w:pPr>
        <w:widowControl w:val="0"/>
        <w:spacing w:after="0" w:line="500" w:lineRule="exact"/>
        <w:ind w:left="426" w:firstLine="560" w:firstLineChars="200"/>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所投</w:t>
      </w:r>
      <w:r>
        <w:rPr>
          <w:rFonts w:hint="eastAsia" w:ascii="仿宋" w:hAnsi="仿宋" w:eastAsia="仿宋" w:cs="仿宋"/>
          <w:color w:val="000000" w:themeColor="text1"/>
          <w:sz w:val="28"/>
          <w:szCs w:val="28"/>
          <w:lang w:eastAsia="zh-CN"/>
          <w14:textFill>
            <w14:solidFill>
              <w14:schemeClr w14:val="tx1"/>
            </w14:solidFill>
          </w14:textFill>
        </w:rPr>
        <w:t>方案</w:t>
      </w:r>
      <w:r>
        <w:rPr>
          <w:rFonts w:hint="eastAsia" w:ascii="仿宋" w:hAnsi="仿宋" w:eastAsia="仿宋" w:cs="仿宋"/>
          <w:color w:val="000000" w:themeColor="text1"/>
          <w:sz w:val="28"/>
          <w:szCs w:val="28"/>
          <w14:textFill>
            <w14:solidFill>
              <w14:schemeClr w14:val="tx1"/>
            </w14:solidFill>
          </w14:textFill>
        </w:rPr>
        <w:t>符合采购需求、质量和服务要求,经过</w:t>
      </w:r>
      <w:r>
        <w:rPr>
          <w:rFonts w:hint="eastAsia" w:ascii="仿宋" w:hAnsi="仿宋" w:eastAsia="仿宋" w:cs="仿宋"/>
          <w:color w:val="000000" w:themeColor="text1"/>
          <w:sz w:val="28"/>
          <w:szCs w:val="28"/>
          <w:lang w:eastAsia="zh-CN"/>
          <w14:textFill>
            <w14:solidFill>
              <w14:schemeClr w14:val="tx1"/>
            </w14:solidFill>
          </w14:textFill>
        </w:rPr>
        <w:t>询价</w:t>
      </w:r>
      <w:r>
        <w:rPr>
          <w:rFonts w:hint="eastAsia" w:ascii="仿宋" w:hAnsi="仿宋" w:eastAsia="仿宋" w:cs="仿宋"/>
          <w:color w:val="000000" w:themeColor="text1"/>
          <w:sz w:val="28"/>
          <w:szCs w:val="28"/>
          <w14:textFill>
            <w14:solidFill>
              <w14:schemeClr w14:val="tx1"/>
            </w14:solidFill>
          </w14:textFill>
        </w:rPr>
        <w:t>所报价格为合理价格的参与人为成交参与人，最低报价不作为成交的保证。</w:t>
      </w:r>
    </w:p>
    <w:p>
      <w:pPr>
        <w:rPr>
          <w:rFonts w:hint="eastAsia" w:ascii="仿宋" w:hAnsi="仿宋" w:eastAsia="仿宋" w:cs="仿宋"/>
          <w:b/>
          <w:color w:val="000000" w:themeColor="text1"/>
          <w:sz w:val="44"/>
          <w:szCs w:val="44"/>
          <w14:textFill>
            <w14:solidFill>
              <w14:schemeClr w14:val="tx1"/>
            </w14:solidFill>
          </w14:textFill>
        </w:rPr>
      </w:pPr>
    </w:p>
    <w:p>
      <w:pPr>
        <w:rPr>
          <w:rFonts w:hint="eastAsia" w:ascii="仿宋" w:hAnsi="仿宋" w:eastAsia="仿宋" w:cs="仿宋"/>
          <w:b/>
          <w:color w:val="000000" w:themeColor="text1"/>
          <w:sz w:val="44"/>
          <w:szCs w:val="44"/>
          <w14:textFill>
            <w14:solidFill>
              <w14:schemeClr w14:val="tx1"/>
            </w14:solidFill>
          </w14:textFill>
        </w:rPr>
      </w:pPr>
    </w:p>
    <w:p>
      <w:pPr>
        <w:numPr>
          <w:ilvl w:val="0"/>
          <w:numId w:val="2"/>
        </w:numPr>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公开询价项目介绍</w:t>
      </w:r>
      <w:bookmarkEnd w:id="49"/>
    </w:p>
    <w:p>
      <w:pPr>
        <w:numPr>
          <w:ilvl w:val="0"/>
          <w:numId w:val="0"/>
        </w:numPr>
        <w:ind w:firstLine="560" w:firstLineChars="200"/>
        <w:rPr>
          <w:rFonts w:hint="eastAsia" w:ascii="仿宋" w:hAnsi="仿宋" w:eastAsia="仿宋" w:cs="仿宋"/>
          <w:b w:val="0"/>
          <w:bCs/>
          <w:color w:val="000000" w:themeColor="text1"/>
          <w:sz w:val="28"/>
          <w:szCs w:val="28"/>
          <w:lang w:eastAsia="zh-CN"/>
          <w14:textFill>
            <w14:solidFill>
              <w14:schemeClr w14:val="tx1"/>
            </w14:solidFill>
          </w14:textFill>
        </w:rPr>
      </w:pPr>
      <w:r>
        <w:rPr>
          <w:rFonts w:hint="eastAsia" w:ascii="仿宋" w:hAnsi="仿宋" w:eastAsia="仿宋" w:cs="仿宋"/>
          <w:b w:val="0"/>
          <w:bCs/>
          <w:color w:val="000000" w:themeColor="text1"/>
          <w:sz w:val="28"/>
          <w:szCs w:val="28"/>
          <w14:textFill>
            <w14:solidFill>
              <w14:schemeClr w14:val="tx1"/>
            </w14:solidFill>
          </w14:textFill>
        </w:rPr>
        <w:t>为进一步落实国家关于加强食品安全的相关文件精神,并加强我校食堂管理，确保饮食源头管理，尤其是大宗类饮食原材料的采购管理工作，扩宽采购渠道， 减少采购中间环节，确保食品安全，降低饮食成本，稳定</w:t>
      </w:r>
      <w:r>
        <w:rPr>
          <w:rFonts w:hint="eastAsia" w:ascii="仿宋" w:hAnsi="仿宋" w:eastAsia="仿宋" w:cs="仿宋"/>
          <w:b w:val="0"/>
          <w:bCs/>
          <w:color w:val="000000" w:themeColor="text1"/>
          <w:sz w:val="28"/>
          <w:szCs w:val="28"/>
          <w:lang w:eastAsia="zh-CN"/>
          <w14:textFill>
            <w14:solidFill>
              <w14:schemeClr w14:val="tx1"/>
            </w14:solidFill>
          </w14:textFill>
        </w:rPr>
        <w:t>我校</w:t>
      </w:r>
      <w:r>
        <w:rPr>
          <w:rFonts w:hint="eastAsia" w:ascii="仿宋" w:hAnsi="仿宋" w:eastAsia="仿宋" w:cs="仿宋"/>
          <w:b w:val="0"/>
          <w:bCs/>
          <w:color w:val="000000" w:themeColor="text1"/>
          <w:sz w:val="28"/>
          <w:szCs w:val="28"/>
          <w14:textFill>
            <w14:solidFill>
              <w14:schemeClr w14:val="tx1"/>
            </w14:solidFill>
          </w14:textFill>
        </w:rPr>
        <w:t>饭菜价格，切实保障广大师生的就餐利益，</w:t>
      </w:r>
      <w:r>
        <w:rPr>
          <w:rFonts w:hint="eastAsia" w:ascii="仿宋" w:hAnsi="仿宋" w:eastAsia="仿宋" w:cs="仿宋"/>
          <w:b w:val="0"/>
          <w:bCs/>
          <w:color w:val="000000" w:themeColor="text1"/>
          <w:sz w:val="28"/>
          <w:szCs w:val="28"/>
          <w:lang w:eastAsia="zh-CN"/>
          <w14:textFill>
            <w14:solidFill>
              <w14:schemeClr w14:val="tx1"/>
            </w14:solidFill>
          </w14:textFill>
        </w:rPr>
        <w:t>决定</w:t>
      </w:r>
      <w:r>
        <w:rPr>
          <w:rFonts w:hint="eastAsia" w:ascii="仿宋" w:hAnsi="仿宋" w:eastAsia="仿宋" w:cs="仿宋"/>
          <w:b w:val="0"/>
          <w:bCs/>
          <w:color w:val="000000" w:themeColor="text1"/>
          <w:sz w:val="28"/>
          <w:szCs w:val="28"/>
          <w14:textFill>
            <w14:solidFill>
              <w14:schemeClr w14:val="tx1"/>
            </w14:solidFill>
          </w14:textFill>
        </w:rPr>
        <w:t>对大米、面粉、</w:t>
      </w:r>
      <w:r>
        <w:rPr>
          <w:rFonts w:hint="eastAsia" w:ascii="仿宋" w:hAnsi="仿宋" w:eastAsia="仿宋" w:cs="仿宋"/>
          <w:b w:val="0"/>
          <w:bCs/>
          <w:color w:val="000000" w:themeColor="text1"/>
          <w:sz w:val="28"/>
          <w:szCs w:val="28"/>
          <w:lang w:eastAsia="zh-CN"/>
          <w14:textFill>
            <w14:solidFill>
              <w14:schemeClr w14:val="tx1"/>
            </w14:solidFill>
          </w14:textFill>
        </w:rPr>
        <w:t>食用</w:t>
      </w:r>
      <w:r>
        <w:rPr>
          <w:rFonts w:hint="eastAsia" w:ascii="仿宋" w:hAnsi="仿宋" w:eastAsia="仿宋" w:cs="仿宋"/>
          <w:b w:val="0"/>
          <w:bCs/>
          <w:color w:val="000000" w:themeColor="text1"/>
          <w:sz w:val="28"/>
          <w:szCs w:val="28"/>
          <w14:textFill>
            <w14:solidFill>
              <w14:schemeClr w14:val="tx1"/>
            </w14:solidFill>
          </w14:textFill>
        </w:rPr>
        <w:t>油、肉类、干调、</w:t>
      </w:r>
      <w:r>
        <w:rPr>
          <w:rFonts w:hint="eastAsia" w:ascii="仿宋" w:hAnsi="仿宋" w:eastAsia="仿宋" w:cs="仿宋"/>
          <w:b w:val="0"/>
          <w:bCs/>
          <w:color w:val="000000" w:themeColor="text1"/>
          <w:sz w:val="28"/>
          <w:szCs w:val="28"/>
          <w:lang w:eastAsia="zh-CN"/>
          <w14:textFill>
            <w14:solidFill>
              <w14:schemeClr w14:val="tx1"/>
            </w14:solidFill>
          </w14:textFill>
        </w:rPr>
        <w:t>蔬菜（包含豆制品）、鸡蛋等</w:t>
      </w:r>
      <w:r>
        <w:rPr>
          <w:rFonts w:hint="eastAsia" w:ascii="仿宋" w:hAnsi="仿宋" w:eastAsia="仿宋" w:cs="仿宋"/>
          <w:b w:val="0"/>
          <w:bCs/>
          <w:color w:val="000000" w:themeColor="text1"/>
          <w:sz w:val="28"/>
          <w:szCs w:val="28"/>
          <w:lang w:val="en-US" w:eastAsia="zh-CN"/>
          <w14:textFill>
            <w14:solidFill>
              <w14:schemeClr w14:val="tx1"/>
            </w14:solidFill>
          </w14:textFill>
        </w:rPr>
        <w:t>7</w:t>
      </w:r>
      <w:r>
        <w:rPr>
          <w:rFonts w:hint="eastAsia" w:ascii="仿宋" w:hAnsi="仿宋" w:eastAsia="仿宋" w:cs="仿宋"/>
          <w:b w:val="0"/>
          <w:bCs/>
          <w:color w:val="000000" w:themeColor="text1"/>
          <w:sz w:val="28"/>
          <w:szCs w:val="28"/>
          <w14:textFill>
            <w14:solidFill>
              <w14:schemeClr w14:val="tx1"/>
            </w14:solidFill>
          </w14:textFill>
        </w:rPr>
        <w:t>大类食堂所需原材料进行</w:t>
      </w:r>
      <w:r>
        <w:rPr>
          <w:rFonts w:hint="eastAsia" w:ascii="仿宋" w:hAnsi="仿宋" w:eastAsia="仿宋" w:cs="仿宋"/>
          <w:b w:val="0"/>
          <w:bCs/>
          <w:color w:val="000000" w:themeColor="text1"/>
          <w:sz w:val="28"/>
          <w:szCs w:val="28"/>
          <w:lang w:eastAsia="zh-CN"/>
          <w14:textFill>
            <w14:solidFill>
              <w14:schemeClr w14:val="tx1"/>
            </w14:solidFill>
          </w14:textFill>
        </w:rPr>
        <w:t>公开询价</w:t>
      </w:r>
      <w:r>
        <w:rPr>
          <w:rFonts w:hint="eastAsia" w:ascii="仿宋" w:hAnsi="仿宋" w:eastAsia="仿宋" w:cs="仿宋"/>
          <w:b w:val="0"/>
          <w:bCs/>
          <w:color w:val="000000" w:themeColor="text1"/>
          <w:sz w:val="28"/>
          <w:szCs w:val="28"/>
          <w14:textFill>
            <w14:solidFill>
              <w14:schemeClr w14:val="tx1"/>
            </w14:solidFill>
          </w14:textFill>
        </w:rPr>
        <w:t xml:space="preserve"> </w:t>
      </w:r>
      <w:r>
        <w:rPr>
          <w:rFonts w:hint="eastAsia" w:ascii="仿宋" w:hAnsi="仿宋" w:eastAsia="仿宋" w:cs="仿宋"/>
          <w:b w:val="0"/>
          <w:bCs/>
          <w:color w:val="000000" w:themeColor="text1"/>
          <w:sz w:val="28"/>
          <w:szCs w:val="28"/>
          <w:lang w:eastAsia="zh-CN"/>
          <w14:textFill>
            <w14:solidFill>
              <w14:schemeClr w14:val="tx1"/>
            </w14:solidFill>
          </w14:textFill>
        </w:rPr>
        <w:t>。</w:t>
      </w:r>
    </w:p>
    <w:p>
      <w:pPr>
        <w:numPr>
          <w:ilvl w:val="0"/>
          <w:numId w:val="0"/>
        </w:numPr>
        <w:ind w:firstLine="560" w:firstLineChars="200"/>
        <w:rPr>
          <w:rFonts w:hint="eastAsia" w:ascii="仿宋" w:hAnsi="仿宋" w:eastAsia="仿宋" w:cs="仿宋"/>
          <w:b w:val="0"/>
          <w:bCs/>
          <w:color w:val="000000" w:themeColor="text1"/>
          <w:sz w:val="28"/>
          <w:szCs w:val="28"/>
          <w14:textFill>
            <w14:solidFill>
              <w14:schemeClr w14:val="tx1"/>
            </w14:solidFill>
          </w14:textFill>
        </w:rPr>
      </w:pPr>
      <w:r>
        <w:rPr>
          <w:rFonts w:hint="eastAsia" w:ascii="仿宋" w:hAnsi="仿宋" w:eastAsia="仿宋" w:cs="仿宋"/>
          <w:b w:val="0"/>
          <w:bCs/>
          <w:color w:val="000000" w:themeColor="text1"/>
          <w:sz w:val="28"/>
          <w:szCs w:val="28"/>
          <w:lang w:val="en-US" w:eastAsia="zh-CN"/>
          <w14:textFill>
            <w14:solidFill>
              <w14:schemeClr w14:val="tx1"/>
            </w14:solidFill>
          </w14:textFill>
        </w:rPr>
        <w:t>1.</w:t>
      </w:r>
      <w:r>
        <w:rPr>
          <w:rFonts w:hint="eastAsia" w:ascii="仿宋" w:hAnsi="仿宋" w:eastAsia="仿宋" w:cs="仿宋"/>
          <w:b w:val="0"/>
          <w:bCs/>
          <w:color w:val="000000" w:themeColor="text1"/>
          <w:sz w:val="28"/>
          <w:szCs w:val="28"/>
          <w:lang w:eastAsia="zh-CN"/>
          <w14:textFill>
            <w14:solidFill>
              <w14:schemeClr w14:val="tx1"/>
            </w14:solidFill>
          </w14:textFill>
        </w:rPr>
        <w:t>每家最多可报两个标段，</w:t>
      </w:r>
      <w:r>
        <w:rPr>
          <w:rFonts w:hint="eastAsia" w:ascii="仿宋" w:hAnsi="仿宋" w:eastAsia="仿宋" w:cs="仿宋"/>
          <w:b w:val="0"/>
          <w:bCs/>
          <w:color w:val="000000" w:themeColor="text1"/>
          <w:sz w:val="28"/>
          <w:szCs w:val="28"/>
          <w14:textFill>
            <w14:solidFill>
              <w14:schemeClr w14:val="tx1"/>
            </w14:solidFill>
          </w14:textFill>
        </w:rPr>
        <w:t>每个标段选中两至三家供商户自由选择，</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2、</w:t>
      </w:r>
      <w:r>
        <w:rPr>
          <w:rFonts w:hint="eastAsia" w:ascii="仿宋" w:hAnsi="仿宋" w:eastAsia="仿宋" w:cs="仿宋"/>
          <w:color w:val="000000"/>
          <w:sz w:val="28"/>
          <w:szCs w:val="28"/>
          <w:lang w:eastAsia="zh-CN"/>
        </w:rPr>
        <w:t>供货方式：米、面、油直接配送至餐厅仓库即可，蔬菜、干调、肉类冻品类、鸡蛋需根据商户每餐需求量，提前分拣称重好后，按照商户要求的时间配送至各餐厅各窗口。</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3.结算周期为30天。</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4.供货合同周期为壹年，合同期满后根据价格、服务等综合评估可续签。</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5.询价标段品种</w:t>
      </w:r>
    </w:p>
    <w:p>
      <w:pPr>
        <w:pStyle w:val="23"/>
        <w:numPr>
          <w:ilvl w:val="0"/>
          <w:numId w:val="0"/>
        </w:numPr>
        <w:shd w:val="clear" w:color="auto" w:fill="FFFFFF"/>
        <w:spacing w:before="0" w:beforeAutospacing="0" w:after="0" w:afterAutospacing="0" w:line="510" w:lineRule="atLeast"/>
        <w:ind w:firstLine="280" w:firstLineChars="1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（1）大米分为：东北大米、原阳大米。（包含杂粮）</w:t>
      </w:r>
    </w:p>
    <w:p>
      <w:pPr>
        <w:pStyle w:val="23"/>
        <w:numPr>
          <w:ilvl w:val="0"/>
          <w:numId w:val="0"/>
        </w:numPr>
        <w:shd w:val="clear" w:color="auto" w:fill="FFFFFF"/>
        <w:spacing w:before="0" w:beforeAutospacing="0" w:after="0" w:afterAutospacing="0" w:line="510" w:lineRule="atLeast"/>
        <w:ind w:firstLine="280" w:firstLineChars="1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（2）面粉：馒头粉、精制粉、高筋粉、雪花粉、五得利三星、五得利五星。</w:t>
      </w:r>
    </w:p>
    <w:p>
      <w:pPr>
        <w:pStyle w:val="23"/>
        <w:numPr>
          <w:ilvl w:val="0"/>
          <w:numId w:val="0"/>
        </w:numPr>
        <w:shd w:val="clear" w:color="auto" w:fill="FFFFFF"/>
        <w:spacing w:before="0" w:beforeAutospacing="0" w:after="0" w:afterAutospacing="0" w:line="510" w:lineRule="atLeast"/>
        <w:ind w:firstLine="280" w:firstLineChars="1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（3）油类：20L/桶，一线品牌非转基因大豆油（须为厂家产销，禁止罐装类品牌）。</w:t>
      </w:r>
    </w:p>
    <w:p>
      <w:pPr>
        <w:pStyle w:val="23"/>
        <w:numPr>
          <w:ilvl w:val="0"/>
          <w:numId w:val="0"/>
        </w:numPr>
        <w:shd w:val="clear" w:color="auto" w:fill="FFFFFF"/>
        <w:spacing w:before="0" w:beforeAutospacing="0" w:after="0" w:afterAutospacing="0" w:line="510" w:lineRule="atLeast"/>
        <w:ind w:firstLine="280" w:firstLineChars="1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（4）肉类：鲜肉和冻货分别报价，种类包含：五花肉、去骨腿肉、纯瘦肉、通排、整鸡、鸡副、鸭副、丸子类、速冻类（禁止进口品牌，必须为国产一线品牌，执行国家一级质量标准）。</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（5）干调类：各种调味香料，各种干货。</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（6）蔬菜：各种类蔬菜，包含豆制品、水菜。</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（7）鸡蛋。</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5.所投产品须为国内或省内知名品牌，所报价格参考为2021年6月9日价格。各供应商最多报两个标段价格，不涉及标段可以不用填写价格。</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6.供应商必须提供合法正规生产厂家的产品，按照食品安全法要求提供批次产品质量报告等证明材料。</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7.产品质量及价格按照询价函约定签订合同我校将不定期组织相关人员对供应商生产经营供货过程进行质量监督以确保产品安全。</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8.在使用过程中如发现产品存在卫生、安全问题供应商应无条件退换，供应商所供原材料必须符合国家食品卫生安全标准，如果所送原材料引发食品安全问题供应商应承担所有经济损失和法律责任，我校将有权随时收回供应商供货权利，并可单方面解除供货合同，一切损失将有涉事供应商承担。</w:t>
      </w:r>
    </w:p>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9.各供应商领取询价函后根据所投项目准备询价响应文件，评审小组根据询价文件对各供应商进行实地考察后，对各供应商进行全方位评比，最终确定成交单位。</w:t>
      </w:r>
    </w:p>
    <w:bookmarkEnd w:id="324"/>
    <w:p>
      <w:pPr>
        <w:pStyle w:val="23"/>
        <w:numPr>
          <w:ilvl w:val="0"/>
          <w:numId w:val="0"/>
        </w:numPr>
        <w:shd w:val="clear" w:color="auto" w:fill="FFFFFF"/>
        <w:spacing w:before="0" w:beforeAutospacing="0" w:after="0" w:afterAutospacing="0" w:line="510" w:lineRule="atLeast"/>
        <w:ind w:firstLine="560" w:firstLineChars="200"/>
        <w:rPr>
          <w:rFonts w:hint="eastAsia" w:ascii="仿宋" w:hAnsi="仿宋" w:eastAsia="仿宋" w:cs="仿宋"/>
          <w:color w:val="000000"/>
          <w:sz w:val="28"/>
          <w:szCs w:val="28"/>
          <w:lang w:val="en-US" w:eastAsia="zh-CN"/>
        </w:rPr>
      </w:pPr>
    </w:p>
    <w:p>
      <w:pPr>
        <w:numPr>
          <w:ilvl w:val="0"/>
          <w:numId w:val="0"/>
        </w:numPr>
        <w:rPr>
          <w:rFonts w:hint="eastAsia" w:ascii="仿宋" w:hAnsi="仿宋" w:eastAsia="仿宋" w:cs="仿宋"/>
          <w:b/>
          <w:color w:val="000000" w:themeColor="text1"/>
          <w:sz w:val="44"/>
          <w:szCs w:val="44"/>
          <w14:textFill>
            <w14:solidFill>
              <w14:schemeClr w14:val="tx1"/>
            </w14:solidFill>
          </w14:textFill>
        </w:rPr>
      </w:pPr>
    </w:p>
    <w:p>
      <w:pPr>
        <w:rPr>
          <w:rFonts w:hint="eastAsia" w:ascii="仿宋" w:hAnsi="仿宋" w:eastAsia="仿宋" w:cs="仿宋"/>
          <w:b/>
          <w:color w:val="000000" w:themeColor="text1"/>
          <w:sz w:val="36"/>
          <w:szCs w:val="36"/>
          <w14:textFill>
            <w14:solidFill>
              <w14:schemeClr w14:val="tx1"/>
            </w14:solidFill>
          </w14:textFill>
        </w:rPr>
      </w:pPr>
    </w:p>
    <w:p>
      <w:pPr>
        <w:rPr>
          <w:rFonts w:hint="eastAsia" w:ascii="仿宋" w:hAnsi="仿宋" w:eastAsia="仿宋" w:cs="仿宋"/>
          <w:b/>
          <w:color w:val="000000" w:themeColor="text1"/>
          <w:sz w:val="36"/>
          <w:szCs w:val="36"/>
          <w14:textFill>
            <w14:solidFill>
              <w14:schemeClr w14:val="tx1"/>
            </w14:solidFill>
          </w14:textFill>
        </w:rPr>
      </w:pPr>
    </w:p>
    <w:p>
      <w:pPr>
        <w:rPr>
          <w:rFonts w:hint="eastAsia" w:ascii="仿宋" w:hAnsi="仿宋" w:eastAsia="仿宋" w:cs="仿宋"/>
          <w:b/>
          <w:color w:val="000000" w:themeColor="text1"/>
          <w:sz w:val="36"/>
          <w:szCs w:val="36"/>
          <w14:textFill>
            <w14:solidFill>
              <w14:schemeClr w14:val="tx1"/>
            </w14:solidFill>
          </w14:textFill>
        </w:rPr>
        <w:sectPr>
          <w:headerReference r:id="rId7" w:type="first"/>
          <w:pgSz w:w="11906" w:h="16838"/>
          <w:pgMar w:top="1440" w:right="1416" w:bottom="1440" w:left="1134" w:header="851" w:footer="227" w:gutter="0"/>
          <w:cols w:space="425" w:num="1"/>
          <w:titlePg/>
          <w:docGrid w:type="lines" w:linePitch="312" w:charSpace="0"/>
        </w:sectPr>
      </w:pPr>
    </w:p>
    <w:p>
      <w:pPr>
        <w:spacing w:line="1000" w:lineRule="exact"/>
        <w:jc w:val="both"/>
        <w:rPr>
          <w:rFonts w:hint="eastAsia" w:ascii="仿宋" w:hAnsi="仿宋" w:eastAsia="仿宋" w:cs="仿宋"/>
          <w:b/>
          <w:color w:val="000000" w:themeColor="text1"/>
          <w:sz w:val="72"/>
          <w:szCs w:val="72"/>
          <w14:textFill>
            <w14:solidFill>
              <w14:schemeClr w14:val="tx1"/>
            </w14:solidFill>
          </w14:textFill>
        </w:rPr>
      </w:pPr>
    </w:p>
    <w:p>
      <w:pPr>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lang w:eastAsia="zh-CN"/>
          <w14:textFill>
            <w14:solidFill>
              <w14:schemeClr w14:val="tx1"/>
            </w14:solidFill>
          </w14:textFill>
        </w:rPr>
        <w:t>郑州城轨交通中等专业</w:t>
      </w:r>
      <w:r>
        <w:rPr>
          <w:rFonts w:hint="eastAsia" w:ascii="仿宋" w:hAnsi="仿宋" w:eastAsia="仿宋" w:cs="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关于</w:t>
      </w:r>
      <w:r>
        <w:rPr>
          <w:rFonts w:hint="eastAsia" w:ascii="仿宋" w:hAnsi="仿宋" w:eastAsia="仿宋" w:cs="仿宋"/>
          <w:b/>
          <w:color w:val="000000" w:themeColor="text1"/>
          <w:sz w:val="44"/>
          <w:szCs w:val="44"/>
          <w:lang w:eastAsia="zh-CN"/>
          <w14:textFill>
            <w14:solidFill>
              <w14:schemeClr w14:val="tx1"/>
            </w14:solidFill>
          </w14:textFill>
        </w:rPr>
        <w:t>餐厅原材料采购</w:t>
      </w:r>
      <w:r>
        <w:rPr>
          <w:rFonts w:hint="eastAsia" w:ascii="仿宋" w:hAnsi="仿宋" w:eastAsia="仿宋" w:cs="仿宋"/>
          <w:b/>
          <w:color w:val="000000" w:themeColor="text1"/>
          <w:sz w:val="44"/>
          <w:szCs w:val="44"/>
          <w14:textFill>
            <w14:solidFill>
              <w14:schemeClr w14:val="tx1"/>
            </w14:solidFill>
          </w14:textFill>
        </w:rPr>
        <w:t>项目</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报</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价</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响</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应</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文</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件</w:t>
      </w:r>
    </w:p>
    <w:p>
      <w:pPr>
        <w:spacing w:line="580" w:lineRule="exact"/>
        <w:jc w:val="center"/>
        <w:rPr>
          <w:rFonts w:hint="eastAsia" w:ascii="仿宋" w:hAnsi="仿宋" w:eastAsia="仿宋" w:cs="仿宋"/>
          <w:b/>
          <w:color w:val="000000" w:themeColor="text1"/>
          <w:sz w:val="72"/>
          <w:szCs w:val="72"/>
          <w14:textFill>
            <w14:solidFill>
              <w14:schemeClr w14:val="tx1"/>
            </w14:solidFill>
          </w14:textFill>
        </w:rPr>
      </w:pP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参与人名称（公司全称）：</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参与人授权代表：</w:t>
      </w:r>
    </w:p>
    <w:p>
      <w:pPr>
        <w:jc w:val="center"/>
        <w:rPr>
          <w:rFonts w:hint="eastAsia" w:ascii="仿宋" w:hAnsi="仿宋" w:eastAsia="仿宋" w:cs="仿宋"/>
          <w:b/>
          <w:color w:val="000000" w:themeColor="text1"/>
          <w:sz w:val="36"/>
          <w:szCs w:val="36"/>
          <w14:textFill>
            <w14:solidFill>
              <w14:schemeClr w14:val="tx1"/>
            </w14:solidFill>
          </w14:textFill>
        </w:rPr>
      </w:pPr>
    </w:p>
    <w:p>
      <w:pPr>
        <w:ind w:firstLine="2711" w:firstLineChars="900"/>
        <w:jc w:val="both"/>
        <w:rPr>
          <w:rFonts w:hint="eastAsia" w:ascii="仿宋" w:hAnsi="仿宋" w:eastAsia="仿宋" w:cs="仿宋"/>
          <w:b/>
          <w:bCs/>
          <w:color w:val="000000" w:themeColor="text1"/>
          <w:sz w:val="30"/>
          <w:szCs w:val="30"/>
          <w14:textFill>
            <w14:solidFill>
              <w14:schemeClr w14:val="tx1"/>
            </w14:solidFill>
          </w14:textFill>
        </w:rPr>
      </w:pPr>
      <w:r>
        <w:rPr>
          <w:rFonts w:hint="eastAsia" w:ascii="仿宋" w:hAnsi="仿宋" w:eastAsia="仿宋" w:cs="仿宋"/>
          <w:b/>
          <w:bCs/>
          <w:color w:val="000000" w:themeColor="text1"/>
          <w:sz w:val="30"/>
          <w:szCs w:val="30"/>
          <w14:textFill>
            <w14:solidFill>
              <w14:schemeClr w14:val="tx1"/>
            </w14:solidFill>
          </w14:textFill>
        </w:rPr>
        <w:t>此封面应作为报价响应文件封面</w:t>
      </w:r>
    </w:p>
    <w:p>
      <w:pPr>
        <w:rPr>
          <w:rFonts w:hint="eastAsia" w:ascii="仿宋" w:hAnsi="仿宋" w:eastAsia="仿宋" w:cs="仿宋"/>
          <w:b/>
          <w:bCs/>
          <w:color w:val="000000" w:themeColor="text1"/>
          <w:sz w:val="30"/>
          <w:szCs w:val="30"/>
          <w14:textFill>
            <w14:solidFill>
              <w14:schemeClr w14:val="tx1"/>
            </w14:solidFill>
          </w14:textFill>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both"/>
        <w:outlineLvl w:val="1"/>
        <w:rPr>
          <w:rFonts w:hint="eastAsia" w:ascii="仿宋" w:hAnsi="仿宋" w:eastAsia="仿宋" w:cs="仿宋"/>
          <w:b/>
          <w:bCs/>
          <w:color w:val="000000" w:themeColor="text1"/>
          <w:sz w:val="28"/>
          <w:szCs w:val="28"/>
          <w14:textFill>
            <w14:solidFill>
              <w14:schemeClr w14:val="tx1"/>
            </w14:solidFill>
          </w14:textFill>
        </w:rPr>
      </w:pPr>
      <w:bookmarkStart w:id="50" w:name="_Toc258401256"/>
      <w:bookmarkStart w:id="51" w:name="_Toc235438274"/>
      <w:bookmarkStart w:id="52" w:name="_Toc170798793"/>
      <w:bookmarkStart w:id="53" w:name="_Toc235437991"/>
      <w:bookmarkStart w:id="54" w:name="_Toc180302913"/>
      <w:bookmarkStart w:id="55" w:name="_Toc177985469"/>
      <w:bookmarkStart w:id="56" w:name="_Toc182372782"/>
      <w:bookmarkStart w:id="57" w:name="_Toc225669322"/>
      <w:bookmarkStart w:id="58" w:name="_Toc266868937"/>
      <w:bookmarkStart w:id="59" w:name="_Toc192663835"/>
      <w:bookmarkStart w:id="60" w:name="_Toc259520865"/>
      <w:bookmarkStart w:id="61" w:name="_Toc266870833"/>
      <w:bookmarkStart w:id="62" w:name="_Toc223146608"/>
      <w:bookmarkStart w:id="63" w:name="_Toc217891402"/>
      <w:bookmarkStart w:id="64" w:name="_Toc255975007"/>
      <w:bookmarkStart w:id="65" w:name="_Toc230071147"/>
      <w:bookmarkStart w:id="66" w:name="_Toc266870432"/>
      <w:bookmarkStart w:id="67" w:name="_Toc182805217"/>
      <w:bookmarkStart w:id="68" w:name="_Toc193165734"/>
      <w:bookmarkStart w:id="69" w:name="_Toc235438344"/>
      <w:bookmarkStart w:id="70" w:name="_Toc219800243"/>
      <w:bookmarkStart w:id="71" w:name="_Toc192996446"/>
      <w:bookmarkStart w:id="72" w:name="_Toc213208766"/>
      <w:bookmarkStart w:id="73" w:name="_Toc266868670"/>
      <w:bookmarkStart w:id="74" w:name="_Toc181436461"/>
      <w:bookmarkStart w:id="75" w:name="_Toc213755995"/>
      <w:bookmarkStart w:id="76" w:name="_Toc211917116"/>
      <w:bookmarkStart w:id="77" w:name="_Toc191783222"/>
      <w:bookmarkStart w:id="78" w:name="_Toc253066614"/>
      <w:bookmarkStart w:id="79" w:name="_Toc251613829"/>
      <w:bookmarkStart w:id="80" w:name="_Toc213756051"/>
      <w:bookmarkStart w:id="81" w:name="_Toc236021449"/>
      <w:bookmarkStart w:id="82" w:name="_Toc203355733"/>
      <w:bookmarkStart w:id="83" w:name="_Toc213755858"/>
      <w:bookmarkStart w:id="84" w:name="_Toc254790899"/>
      <w:bookmarkStart w:id="85" w:name="_Toc232302115"/>
      <w:bookmarkStart w:id="86" w:name="_Toc249325711"/>
      <w:bookmarkStart w:id="87" w:name="_Toc259692740"/>
      <w:bookmarkStart w:id="88" w:name="_Toc227058530"/>
      <w:bookmarkStart w:id="89" w:name="_Toc192663686"/>
      <w:bookmarkStart w:id="90" w:name="_Toc191802690"/>
      <w:bookmarkStart w:id="91" w:name="_Toc251586231"/>
      <w:bookmarkStart w:id="92" w:name="_Toc181436565"/>
      <w:bookmarkStart w:id="93" w:name="_Toc259692647"/>
      <w:bookmarkStart w:id="94" w:name="_Toc193160448"/>
      <w:bookmarkStart w:id="95" w:name="_Toc192664153"/>
      <w:bookmarkStart w:id="96" w:name="_Toc192996338"/>
      <w:bookmarkStart w:id="97" w:name="_Toc213755939"/>
      <w:bookmarkStart w:id="98" w:name="_Toc191789329"/>
      <w:bookmarkStart w:id="99" w:name="_Toc191803626"/>
      <w:bookmarkStart w:id="100" w:name="_Toc169332949"/>
      <w:bookmarkStart w:id="101" w:name="_Toc267060321"/>
      <w:bookmarkStart w:id="102" w:name="_Toc267059181"/>
      <w:bookmarkStart w:id="103" w:name="_Toc267060208"/>
      <w:bookmarkStart w:id="104" w:name="_Toc267060453"/>
      <w:bookmarkStart w:id="105" w:name="_Toc266870907"/>
      <w:bookmarkStart w:id="106" w:name="_Toc267059653"/>
      <w:bookmarkStart w:id="107" w:name="_Toc267059539"/>
      <w:bookmarkStart w:id="108" w:name="_Toc267060068"/>
      <w:bookmarkStart w:id="109" w:name="_Toc267059806"/>
      <w:bookmarkStart w:id="110" w:name="_Toc267059030"/>
      <w:bookmarkStart w:id="111" w:name="_Toc273178698"/>
      <w:bookmarkStart w:id="112" w:name="_Toc267059919"/>
      <w:bookmarkStart w:id="113" w:name="_Toc160880160"/>
      <w:bookmarkStart w:id="114" w:name="_Toc160880529"/>
      <w:bookmarkStart w:id="115" w:name="_Toc169332838"/>
    </w:p>
    <w:p>
      <w:pPr>
        <w:jc w:val="both"/>
        <w:outlineLvl w:val="1"/>
        <w:rPr>
          <w:rFonts w:hint="eastAsia" w:ascii="仿宋" w:hAnsi="仿宋" w:eastAsia="仿宋" w:cs="仿宋"/>
          <w:b/>
          <w:bCs/>
          <w:color w:val="000000" w:themeColor="text1"/>
          <w:sz w:val="28"/>
          <w:szCs w:val="28"/>
          <w14:textFill>
            <w14:solidFill>
              <w14:schemeClr w14:val="tx1"/>
            </w14:solidFill>
          </w14:textFill>
        </w:rPr>
      </w:pPr>
    </w:p>
    <w:p>
      <w:pPr>
        <w:jc w:val="center"/>
        <w:outlineLvl w:val="1"/>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000000" w:themeColor="text1"/>
          <w:sz w:val="28"/>
          <w:szCs w:val="28"/>
          <w14:textFill>
            <w14:solidFill>
              <w14:schemeClr w14:val="tx1"/>
            </w14:solidFill>
          </w14:textFill>
        </w:rPr>
        <w:t>询价响应函</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致：</w:t>
      </w:r>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根据贵方为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u w:val="single"/>
          <w:lang w:val="en-US" w:eastAsia="zh-CN"/>
          <w14:textFill>
            <w14:solidFill>
              <w14:schemeClr w14:val="tx1"/>
            </w14:solidFill>
          </w14:textFill>
        </w:rPr>
        <w:t xml:space="preserve">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项目的公开询价邀请（编号）: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，本签字代表</w:t>
      </w:r>
      <w:r>
        <w:rPr>
          <w:rFonts w:hint="eastAsia" w:ascii="仿宋" w:hAnsi="仿宋" w:eastAsia="仿宋" w:cs="仿宋"/>
          <w:color w:val="000000" w:themeColor="text1"/>
          <w:sz w:val="28"/>
          <w:szCs w:val="28"/>
          <w:u w:val="single"/>
          <w14:textFill>
            <w14:solidFill>
              <w14:schemeClr w14:val="tx1"/>
            </w14:solidFill>
          </w14:textFill>
        </w:rPr>
        <w:t>（全名、职务）</w:t>
      </w:r>
      <w:r>
        <w:rPr>
          <w:rFonts w:hint="eastAsia" w:ascii="仿宋" w:hAnsi="仿宋" w:eastAsia="仿宋" w:cs="仿宋"/>
          <w:color w:val="000000" w:themeColor="text1"/>
          <w:sz w:val="28"/>
          <w:szCs w:val="28"/>
          <w14:textFill>
            <w14:solidFill>
              <w14:schemeClr w14:val="tx1"/>
            </w14:solidFill>
          </w14:textFill>
        </w:rPr>
        <w:t>正式授权并代表我方</w:t>
      </w:r>
      <w:r>
        <w:rPr>
          <w:rFonts w:hint="eastAsia" w:ascii="仿宋" w:hAnsi="仿宋" w:eastAsia="仿宋" w:cs="仿宋"/>
          <w:color w:val="000000" w:themeColor="text1"/>
          <w:sz w:val="28"/>
          <w:szCs w:val="28"/>
          <w:u w:val="single"/>
          <w14:textFill>
            <w14:solidFill>
              <w14:schemeClr w14:val="tx1"/>
            </w14:solidFill>
          </w14:textFill>
        </w:rPr>
        <w:t>（参与人公司名称、地址）</w:t>
      </w:r>
      <w:r>
        <w:rPr>
          <w:rFonts w:hint="eastAsia" w:ascii="仿宋" w:hAnsi="仿宋" w:eastAsia="仿宋" w:cs="仿宋"/>
          <w:color w:val="000000" w:themeColor="text1"/>
          <w:sz w:val="28"/>
          <w:szCs w:val="28"/>
          <w14:textFill>
            <w14:solidFill>
              <w14:schemeClr w14:val="tx1"/>
            </w14:solidFill>
          </w14:textFill>
        </w:rPr>
        <w:t>提交下述文件正本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份和副本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分项报价表</w:t>
      </w:r>
      <w:r>
        <w:rPr>
          <w:rFonts w:hint="eastAsia" w:ascii="仿宋" w:hAnsi="仿宋" w:eastAsia="仿宋" w:cs="仿宋"/>
          <w:color w:val="000000" w:themeColor="text1"/>
          <w:sz w:val="28"/>
          <w:szCs w:val="28"/>
          <w:lang w:val="en-US" w:eastAsia="zh-CN"/>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(2) 参与人资格证明文件</w:t>
      </w:r>
    </w:p>
    <w:p>
      <w:pPr>
        <w:spacing w:after="0" w:line="480" w:lineRule="exact"/>
        <w:ind w:firstLine="570"/>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质保期和售后服务承诺书</w:t>
      </w:r>
      <w:r>
        <w:rPr>
          <w:rFonts w:hint="eastAsia" w:ascii="仿宋" w:hAnsi="仿宋" w:eastAsia="仿宋" w:cs="仿宋"/>
          <w:color w:val="000000" w:themeColor="text1"/>
          <w:sz w:val="28"/>
          <w:szCs w:val="28"/>
          <w:lang w:val="en-US" w:eastAsia="zh-CN"/>
          <w14:textFill>
            <w14:solidFill>
              <w14:schemeClr w14:val="tx1"/>
            </w14:solidFill>
          </w14:textFill>
        </w:rPr>
        <w:t xml:space="preserve">        </w:t>
      </w:r>
      <w:r>
        <w:rPr>
          <w:rFonts w:hint="eastAsia" w:ascii="仿宋" w:hAnsi="仿宋" w:eastAsia="仿宋" w:cs="仿宋"/>
          <w:color w:val="000000" w:themeColor="text1"/>
          <w:sz w:val="28"/>
          <w:szCs w:val="28"/>
          <w:lang w:eastAsia="zh-CN"/>
          <w14:textFill>
            <w14:solidFill>
              <w14:schemeClr w14:val="tx1"/>
            </w14:solidFill>
          </w14:textFill>
        </w:rPr>
        <w:t>（</w:t>
      </w:r>
      <w:r>
        <w:rPr>
          <w:rFonts w:hint="eastAsia" w:ascii="仿宋" w:hAnsi="仿宋" w:eastAsia="仿宋" w:cs="仿宋"/>
          <w:color w:val="000000" w:themeColor="text1"/>
          <w:sz w:val="28"/>
          <w:szCs w:val="28"/>
          <w:lang w:val="en-US" w:eastAsia="zh-CN"/>
          <w14:textFill>
            <w14:solidFill>
              <w14:schemeClr w14:val="tx1"/>
            </w14:solidFill>
          </w14:textFill>
        </w:rPr>
        <w:t>4</w:t>
      </w:r>
      <w:r>
        <w:rPr>
          <w:rFonts w:hint="eastAsia" w:ascii="仿宋" w:hAnsi="仿宋" w:eastAsia="仿宋" w:cs="仿宋"/>
          <w:color w:val="000000" w:themeColor="text1"/>
          <w:sz w:val="28"/>
          <w:szCs w:val="28"/>
          <w:lang w:eastAsia="zh-CN"/>
          <w14:textFill>
            <w14:solidFill>
              <w14:schemeClr w14:val="tx1"/>
            </w14:solidFill>
          </w14:textFill>
        </w:rPr>
        <w:t>）同类业绩</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据此函，签字代表宣布同意如下：</w:t>
      </w:r>
    </w:p>
    <w:p>
      <w:pPr>
        <w:spacing w:after="0" w:line="480" w:lineRule="exact"/>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1.所</w:t>
      </w:r>
      <w:r>
        <w:rPr>
          <w:rFonts w:hint="eastAsia" w:ascii="仿宋" w:hAnsi="仿宋" w:eastAsia="仿宋" w:cs="仿宋"/>
          <w:color w:val="000000" w:themeColor="text1"/>
          <w:sz w:val="28"/>
          <w:szCs w:val="28"/>
          <w:lang w:eastAsia="zh-CN"/>
          <w14:textFill>
            <w14:solidFill>
              <w14:schemeClr w14:val="tx1"/>
            </w14:solidFill>
          </w14:textFill>
        </w:rPr>
        <w:t>报的标段为</w:t>
      </w:r>
      <w:r>
        <w:rPr>
          <w:rFonts w:hint="eastAsia" w:ascii="仿宋" w:hAnsi="仿宋" w:eastAsia="仿宋" w:cs="仿宋"/>
          <w:color w:val="000000" w:themeColor="text1"/>
          <w:sz w:val="28"/>
          <w:szCs w:val="28"/>
          <w:lang w:val="en-US" w:eastAsia="zh-CN"/>
          <w14:textFill>
            <w14:solidFill>
              <w14:schemeClr w14:val="tx1"/>
            </w14:solidFill>
          </w14:textFill>
        </w:rPr>
        <w:t>1.</w:t>
      </w:r>
      <w:r>
        <w:rPr>
          <w:rFonts w:hint="eastAsia" w:ascii="仿宋" w:hAnsi="仿宋" w:eastAsia="仿宋" w:cs="仿宋"/>
          <w:color w:val="000000" w:themeColor="text1"/>
          <w:sz w:val="28"/>
          <w:szCs w:val="28"/>
          <w:u w:val="single"/>
          <w:lang w:val="en-US" w:eastAsia="zh-CN"/>
          <w14:textFill>
            <w14:solidFill>
              <w14:schemeClr w14:val="tx1"/>
            </w14:solidFill>
          </w14:textFill>
        </w:rPr>
        <w:t xml:space="preserve">                  </w:t>
      </w:r>
      <w:r>
        <w:rPr>
          <w:rFonts w:hint="eastAsia" w:ascii="仿宋" w:hAnsi="仿宋" w:eastAsia="仿宋" w:cs="仿宋"/>
          <w:color w:val="000000" w:themeColor="text1"/>
          <w:sz w:val="28"/>
          <w:szCs w:val="28"/>
          <w:u w:val="none"/>
          <w:lang w:val="en-US" w:eastAsia="zh-CN"/>
          <w14:textFill>
            <w14:solidFill>
              <w14:schemeClr w14:val="tx1"/>
            </w14:solidFill>
          </w14:textFill>
        </w:rPr>
        <w:t>2.</w:t>
      </w:r>
      <w:r>
        <w:rPr>
          <w:rFonts w:hint="eastAsia" w:ascii="仿宋" w:hAnsi="仿宋" w:eastAsia="仿宋" w:cs="仿宋"/>
          <w:color w:val="000000" w:themeColor="text1"/>
          <w:sz w:val="28"/>
          <w:szCs w:val="28"/>
          <w:u w:val="single"/>
          <w:lang w:val="en-US" w:eastAsia="zh-CN"/>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详细报价表中规定的应提供和交付的货物及服务</w:t>
      </w:r>
      <w:r>
        <w:rPr>
          <w:rFonts w:hint="eastAsia" w:ascii="仿宋" w:hAnsi="仿宋" w:eastAsia="仿宋" w:cs="仿宋"/>
          <w:color w:val="000000" w:themeColor="text1"/>
          <w:sz w:val="28"/>
          <w:szCs w:val="28"/>
          <w:lang w:eastAsia="zh-CN"/>
          <w14:textFill>
            <w14:solidFill>
              <w14:schemeClr w14:val="tx1"/>
            </w14:solidFill>
          </w14:textFill>
        </w:rPr>
        <w:t>单</w:t>
      </w:r>
      <w:r>
        <w:rPr>
          <w:rFonts w:hint="eastAsia" w:ascii="仿宋" w:hAnsi="仿宋" w:eastAsia="仿宋" w:cs="仿宋"/>
          <w:color w:val="000000" w:themeColor="text1"/>
          <w:sz w:val="28"/>
          <w:szCs w:val="28"/>
          <w14:textFill>
            <w14:solidFill>
              <w14:schemeClr w14:val="tx1"/>
            </w14:solidFill>
          </w14:textFill>
        </w:rPr>
        <w:t>价</w:t>
      </w:r>
      <w:r>
        <w:rPr>
          <w:rFonts w:hint="eastAsia" w:ascii="仿宋" w:hAnsi="仿宋" w:eastAsia="仿宋" w:cs="仿宋"/>
          <w:color w:val="000000" w:themeColor="text1"/>
          <w:sz w:val="28"/>
          <w:szCs w:val="28"/>
          <w:lang w:eastAsia="zh-CN"/>
          <w14:textFill>
            <w14:solidFill>
              <w14:schemeClr w14:val="tx1"/>
            </w14:solidFill>
          </w14:textFill>
        </w:rPr>
        <w:t>填写相应标段表格即可</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lang w:eastAsia="zh-CN"/>
          <w14:textFill>
            <w14:solidFill>
              <w14:schemeClr w14:val="tx1"/>
            </w14:solidFill>
          </w14:textFill>
        </w:rPr>
        <w:t>（以人民币为结算单位）</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2.参与人已详细审查全部公开询价文件，包括修改文件（如有的话）和有关附件，将自行承担因对全部询价响应文件理解不正确或误解而产生的相应后果。</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3.参与人保证遵守公开询价文件的全部规定，参与人所提交的材料中所含的信息均为真实、准确、完整，且不具有任何误导性。</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4.参与人将按公开询价文件的规定履行合同责任和义务。</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6.与本此公开询价有关的一切正式往来通讯请寄：</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地址：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邮编：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电话：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传真：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参与人授权代表签字：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参与人（公司全称并加盖公章）：</w:t>
      </w:r>
      <w:r>
        <w:rPr>
          <w:rFonts w:hint="eastAsia" w:ascii="仿宋" w:hAnsi="仿宋" w:eastAsia="仿宋" w:cs="仿宋"/>
          <w:color w:val="000000" w:themeColor="text1"/>
          <w:sz w:val="28"/>
          <w:szCs w:val="28"/>
          <w:u w:val="single"/>
          <w14:textFill>
            <w14:solidFill>
              <w14:schemeClr w14:val="tx1"/>
            </w14:solidFill>
          </w14:textFill>
        </w:rPr>
        <w:t xml:space="preserve">                       </w:t>
      </w:r>
    </w:p>
    <w:p>
      <w:pPr>
        <w:pStyle w:val="58"/>
        <w:spacing w:line="480" w:lineRule="exact"/>
        <w:jc w:val="left"/>
        <w:outlineLvl w:val="9"/>
        <w:rPr>
          <w:rFonts w:hint="eastAsia" w:ascii="仿宋" w:hAnsi="仿宋" w:eastAsia="仿宋" w:cs="仿宋"/>
          <w:color w:val="000000" w:themeColor="text1"/>
          <w:szCs w:val="28"/>
          <w14:textFill>
            <w14:solidFill>
              <w14:schemeClr w14:val="tx1"/>
            </w14:solidFill>
          </w14:textFill>
        </w:rPr>
      </w:pPr>
      <w:r>
        <w:rPr>
          <w:rFonts w:hint="eastAsia" w:ascii="仿宋" w:hAnsi="仿宋" w:eastAsia="仿宋" w:cs="仿宋"/>
          <w:color w:val="000000" w:themeColor="text1"/>
          <w:szCs w:val="28"/>
          <w14:textFill>
            <w14:solidFill>
              <w14:schemeClr w14:val="tx1"/>
            </w14:solidFill>
          </w14:textFill>
        </w:rPr>
        <w:t xml:space="preserve">      日  期：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 xml:space="preserve">年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 xml:space="preserve">月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日</w:t>
      </w:r>
    </w:p>
    <w:p>
      <w:pPr>
        <w:rPr>
          <w:rFonts w:hint="eastAsia" w:ascii="仿宋" w:hAnsi="仿宋" w:eastAsia="仿宋" w:cs="仿宋"/>
          <w:color w:val="000000" w:themeColor="text1"/>
          <w:kern w:val="2"/>
          <w:sz w:val="28"/>
          <w:szCs w:val="28"/>
          <w14:textFill>
            <w14:solidFill>
              <w14:schemeClr w14:val="tx1"/>
            </w14:solidFill>
          </w14:textFill>
        </w:rPr>
      </w:pPr>
      <w:r>
        <w:rPr>
          <w:rFonts w:hint="eastAsia" w:ascii="仿宋" w:hAnsi="仿宋" w:eastAsia="仿宋" w:cs="仿宋"/>
          <w:color w:val="000000" w:themeColor="text1"/>
          <w:szCs w:val="28"/>
          <w14:textFill>
            <w14:solidFill>
              <w14:schemeClr w14:val="tx1"/>
            </w14:solidFill>
          </w14:textFill>
        </w:rPr>
        <w:br w:type="page"/>
      </w:r>
    </w:p>
    <w:p>
      <w:pPr>
        <w:numPr>
          <w:ilvl w:val="0"/>
          <w:numId w:val="3"/>
        </w:numPr>
        <w:jc w:val="center"/>
        <w:outlineLvl w:val="1"/>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分项报价一览表</w:t>
      </w:r>
    </w:p>
    <w:p>
      <w:pPr>
        <w:numPr>
          <w:ilvl w:val="0"/>
          <w:numId w:val="0"/>
        </w:numPr>
        <w:jc w:val="center"/>
        <w:outlineLvl w:val="1"/>
        <w:rPr>
          <w:rFonts w:hint="eastAsia" w:ascii="仿宋" w:hAnsi="仿宋" w:eastAsia="仿宋" w:cs="仿宋"/>
          <w:b/>
          <w:bCs/>
          <w:color w:val="000000" w:themeColor="text1"/>
          <w:sz w:val="28"/>
          <w:szCs w:val="28"/>
          <w:lang w:eastAsia="zh-CN"/>
          <w14:textFill>
            <w14:solidFill>
              <w14:schemeClr w14:val="tx1"/>
            </w14:solidFill>
          </w14:textFill>
        </w:rPr>
      </w:pPr>
      <w:r>
        <w:rPr>
          <w:rFonts w:hint="eastAsia" w:ascii="仿宋" w:hAnsi="仿宋" w:eastAsia="仿宋" w:cs="仿宋"/>
          <w:b/>
          <w:bCs/>
          <w:color w:val="000000" w:themeColor="text1"/>
          <w:sz w:val="28"/>
          <w:szCs w:val="28"/>
          <w:lang w:eastAsia="zh-CN"/>
          <w14:textFill>
            <w14:solidFill>
              <w14:schemeClr w14:val="tx1"/>
            </w14:solidFill>
          </w14:textFill>
        </w:rPr>
        <w:t>（一）大米类</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5"/>
        <w:tblW w:w="91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1011"/>
        <w:gridCol w:w="5145"/>
        <w:gridCol w:w="1035"/>
        <w:gridCol w:w="840"/>
        <w:gridCol w:w="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8" w:hRule="atLeast"/>
        </w:trPr>
        <w:tc>
          <w:tcPr>
            <w:tcW w:w="534" w:type="dxa"/>
            <w:noWrap w:val="0"/>
            <w:vAlign w:val="top"/>
          </w:tcPr>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序号     </w:t>
            </w:r>
          </w:p>
        </w:tc>
        <w:tc>
          <w:tcPr>
            <w:tcW w:w="1011" w:type="dxa"/>
            <w:noWrap w:val="0"/>
            <w:vAlign w:val="top"/>
          </w:tcPr>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种类</w:t>
            </w:r>
          </w:p>
        </w:tc>
        <w:tc>
          <w:tcPr>
            <w:tcW w:w="5145" w:type="dxa"/>
            <w:noWrap w:val="0"/>
            <w:vAlign w:val="top"/>
          </w:tcPr>
          <w:p>
            <w:pPr>
              <w:jc w:val="both"/>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质   量   要   求</w:t>
            </w:r>
          </w:p>
        </w:tc>
        <w:tc>
          <w:tcPr>
            <w:tcW w:w="1035" w:type="dxa"/>
            <w:noWrap w:val="0"/>
            <w:vAlign w:val="top"/>
          </w:tcPr>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每公斤报价（元）</w:t>
            </w:r>
          </w:p>
        </w:tc>
        <w:tc>
          <w:tcPr>
            <w:tcW w:w="840" w:type="dxa"/>
            <w:noWrap w:val="0"/>
            <w:vAlign w:val="top"/>
          </w:tcPr>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整袋25公斤报价（元）</w:t>
            </w:r>
          </w:p>
        </w:tc>
        <w:tc>
          <w:tcPr>
            <w:tcW w:w="613" w:type="dxa"/>
            <w:noWrap w:val="0"/>
            <w:vAlign w:val="top"/>
          </w:tcPr>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5" w:hRule="atLeast"/>
        </w:trPr>
        <w:tc>
          <w:tcPr>
            <w:tcW w:w="534" w:type="dxa"/>
            <w:noWrap w:val="0"/>
            <w:vAlign w:val="top"/>
          </w:tcPr>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1011" w:type="dxa"/>
            <w:noWrap w:val="0"/>
            <w:vAlign w:val="top"/>
          </w:tcPr>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东北米</w:t>
            </w:r>
          </w:p>
        </w:tc>
        <w:tc>
          <w:tcPr>
            <w:tcW w:w="5145" w:type="dxa"/>
            <w:noWrap w:val="0"/>
            <w:vAlign w:val="top"/>
          </w:tcPr>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当年新米、颗粒饱满、色泽光亮、无异常气味、无石子等杂质。水分≤14.5％，不完善率≤3.0％，杂志总量≤0.25％，糠粉≤0.15％，矿物质≤0.02％，碎米总量≤15.0％，小碎米≤1.0％，带壳≤4粒/Kg，加工精度：背沟有皮，粒面米皮基本去净占95％以上</w:t>
            </w:r>
          </w:p>
        </w:tc>
        <w:tc>
          <w:tcPr>
            <w:tcW w:w="1035" w:type="dxa"/>
            <w:noWrap w:val="0"/>
            <w:vAlign w:val="top"/>
          </w:tcPr>
          <w:p>
            <w:pPr>
              <w:jc w:val="both"/>
              <w:rPr>
                <w:rFonts w:hint="eastAsia" w:ascii="仿宋" w:hAnsi="仿宋" w:eastAsia="仿宋" w:cs="仿宋"/>
                <w:sz w:val="24"/>
                <w:szCs w:val="24"/>
                <w:lang w:val="en-US" w:eastAsia="zh-CN"/>
              </w:rPr>
            </w:pPr>
          </w:p>
        </w:tc>
        <w:tc>
          <w:tcPr>
            <w:tcW w:w="840" w:type="dxa"/>
            <w:noWrap w:val="0"/>
            <w:vAlign w:val="top"/>
          </w:tcPr>
          <w:p>
            <w:pPr>
              <w:jc w:val="both"/>
              <w:rPr>
                <w:rFonts w:hint="eastAsia" w:ascii="仿宋" w:hAnsi="仿宋" w:eastAsia="仿宋" w:cs="仿宋"/>
                <w:sz w:val="24"/>
                <w:szCs w:val="24"/>
                <w:lang w:val="en-US" w:eastAsia="zh-CN"/>
              </w:rPr>
            </w:pPr>
          </w:p>
        </w:tc>
        <w:tc>
          <w:tcPr>
            <w:tcW w:w="613" w:type="dxa"/>
            <w:noWrap w:val="0"/>
            <w:vAlign w:val="top"/>
          </w:tcPr>
          <w:p>
            <w:pPr>
              <w:jc w:val="both"/>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8" w:hRule="atLeast"/>
        </w:trPr>
        <w:tc>
          <w:tcPr>
            <w:tcW w:w="534" w:type="dxa"/>
            <w:noWrap w:val="0"/>
            <w:vAlign w:val="top"/>
          </w:tcPr>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011" w:type="dxa"/>
            <w:noWrap w:val="0"/>
            <w:vAlign w:val="top"/>
          </w:tcPr>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原阳米</w:t>
            </w:r>
          </w:p>
        </w:tc>
        <w:tc>
          <w:tcPr>
            <w:tcW w:w="5145" w:type="dxa"/>
            <w:noWrap w:val="0"/>
            <w:vAlign w:val="top"/>
          </w:tcPr>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当年新米、颗粒饱满、色泽光亮、无异常气味、无石子等杂质。水分≤14.5％，不完善率≤3.0％，杂志总量≤0.25％，糠粉≤0.15％，矿物质≤0.02％，碎米总量≤15.0％，小碎米≤1.0％，带壳≤3粒/Kg，加工精度：背沟有皮，粒面米皮基本去净占95％以上</w:t>
            </w:r>
          </w:p>
        </w:tc>
        <w:tc>
          <w:tcPr>
            <w:tcW w:w="1035" w:type="dxa"/>
            <w:noWrap w:val="0"/>
            <w:vAlign w:val="top"/>
          </w:tcPr>
          <w:p>
            <w:pPr>
              <w:jc w:val="both"/>
              <w:rPr>
                <w:rFonts w:hint="eastAsia" w:ascii="仿宋" w:hAnsi="仿宋" w:eastAsia="仿宋" w:cs="仿宋"/>
                <w:sz w:val="24"/>
                <w:szCs w:val="24"/>
                <w:lang w:val="en-US" w:eastAsia="zh-CN"/>
              </w:rPr>
            </w:pPr>
          </w:p>
        </w:tc>
        <w:tc>
          <w:tcPr>
            <w:tcW w:w="840" w:type="dxa"/>
            <w:noWrap w:val="0"/>
            <w:vAlign w:val="top"/>
          </w:tcPr>
          <w:p>
            <w:pPr>
              <w:jc w:val="both"/>
              <w:rPr>
                <w:rFonts w:hint="eastAsia" w:ascii="仿宋" w:hAnsi="仿宋" w:eastAsia="仿宋" w:cs="仿宋"/>
                <w:sz w:val="24"/>
                <w:szCs w:val="24"/>
                <w:lang w:val="en-US" w:eastAsia="zh-CN"/>
              </w:rPr>
            </w:pPr>
          </w:p>
        </w:tc>
        <w:tc>
          <w:tcPr>
            <w:tcW w:w="613" w:type="dxa"/>
            <w:noWrap w:val="0"/>
            <w:vAlign w:val="top"/>
          </w:tcPr>
          <w:p>
            <w:pPr>
              <w:jc w:val="both"/>
              <w:rPr>
                <w:rFonts w:hint="eastAsia" w:ascii="仿宋" w:hAnsi="仿宋" w:eastAsia="仿宋" w:cs="仿宋"/>
                <w:sz w:val="24"/>
                <w:szCs w:val="24"/>
                <w:lang w:val="en-US" w:eastAsia="zh-CN"/>
              </w:rPr>
            </w:pPr>
          </w:p>
        </w:tc>
      </w:tr>
    </w:tbl>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5600" w:firstLineChars="20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bookmarkStart w:id="116" w:name="_Toc160880534"/>
      <w:bookmarkStart w:id="117" w:name="_Toc169332843"/>
      <w:bookmarkStart w:id="118" w:name="_Toc169332954"/>
      <w:bookmarkStart w:id="119" w:name="_Toc170798798"/>
      <w:bookmarkStart w:id="120" w:name="_Toc177985474"/>
      <w:bookmarkStart w:id="121" w:name="_Toc251613839"/>
      <w:bookmarkStart w:id="122" w:name="_Toc180302918"/>
      <w:bookmarkStart w:id="123" w:name="_Toc181436466"/>
      <w:bookmarkStart w:id="124" w:name="_Toc181436570"/>
      <w:bookmarkStart w:id="125" w:name="_Toc182372787"/>
      <w:bookmarkStart w:id="126" w:name="_Toc182805222"/>
      <w:bookmarkStart w:id="127" w:name="_Toc191783227"/>
      <w:bookmarkStart w:id="128" w:name="_Toc191789334"/>
      <w:bookmarkStart w:id="129" w:name="_Toc191802695"/>
      <w:bookmarkStart w:id="130" w:name="_Toc191803631"/>
      <w:bookmarkStart w:id="131" w:name="_Toc192663691"/>
      <w:bookmarkStart w:id="132" w:name="_Toc192663840"/>
      <w:bookmarkStart w:id="133" w:name="_Toc192664158"/>
      <w:bookmarkStart w:id="134" w:name="_Toc192996343"/>
      <w:bookmarkStart w:id="135" w:name="_Toc253066624"/>
      <w:bookmarkStart w:id="136" w:name="_Toc192996451"/>
      <w:bookmarkStart w:id="137" w:name="_Toc193160453"/>
      <w:bookmarkStart w:id="138" w:name="_Toc193165739"/>
      <w:bookmarkStart w:id="139" w:name="_Toc203355738"/>
      <w:bookmarkStart w:id="140" w:name="_Toc211917121"/>
      <w:bookmarkStart w:id="141" w:name="_Toc213755864"/>
      <w:bookmarkStart w:id="142" w:name="_Toc213755945"/>
      <w:bookmarkStart w:id="143" w:name="_Toc213756001"/>
      <w:bookmarkStart w:id="144" w:name="_Toc213756057"/>
      <w:bookmarkStart w:id="145" w:name="_Toc217891408"/>
      <w:bookmarkStart w:id="146" w:name="_Toc219800249"/>
      <w:bookmarkStart w:id="147" w:name="_Toc223146614"/>
      <w:bookmarkStart w:id="148" w:name="_Toc225669328"/>
      <w:bookmarkStart w:id="149" w:name="_Toc227058536"/>
      <w:bookmarkStart w:id="150" w:name="_Toc230071153"/>
      <w:bookmarkStart w:id="151" w:name="_Toc232302122"/>
      <w:bookmarkStart w:id="152" w:name="_Toc235437998"/>
      <w:bookmarkStart w:id="153" w:name="_Toc235438281"/>
      <w:bookmarkStart w:id="154" w:name="_Toc235438352"/>
      <w:bookmarkStart w:id="155" w:name="_Toc236021457"/>
      <w:bookmarkStart w:id="156" w:name="_Toc160880165"/>
      <w:bookmarkStart w:id="157" w:name="_Toc213208771"/>
      <w:bookmarkStart w:id="158" w:name="_Toc249325720"/>
      <w:bookmarkStart w:id="159" w:name="_Toc251586241"/>
      <w:bookmarkStart w:id="160" w:name="_Toc254790909"/>
      <w:bookmarkStart w:id="161" w:name="_Toc255975016"/>
      <w:bookmarkStart w:id="162" w:name="_Toc258401265"/>
      <w:bookmarkStart w:id="163" w:name="_Toc259520874"/>
      <w:bookmarkStart w:id="164" w:name="_Toc259692656"/>
      <w:bookmarkStart w:id="165" w:name="_Toc259692749"/>
      <w:bookmarkStart w:id="166" w:name="_Toc266868679"/>
      <w:bookmarkStart w:id="167" w:name="_Toc266868943"/>
      <w:bookmarkStart w:id="168" w:name="_Toc266870441"/>
      <w:bookmarkStart w:id="169" w:name="_Toc266870839"/>
      <w:bookmarkStart w:id="170" w:name="_Toc266870916"/>
      <w:bookmarkStart w:id="171" w:name="_Toc267059035"/>
      <w:bookmarkStart w:id="172" w:name="_Toc267059186"/>
      <w:bookmarkStart w:id="173" w:name="_Toc267059544"/>
      <w:bookmarkStart w:id="174" w:name="_Toc267059658"/>
      <w:bookmarkStart w:id="175" w:name="_Toc267059811"/>
      <w:bookmarkStart w:id="176" w:name="_Toc267059924"/>
      <w:bookmarkStart w:id="177" w:name="_Toc267060076"/>
      <w:bookmarkStart w:id="178" w:name="_Toc267060216"/>
      <w:bookmarkStart w:id="179" w:name="_Toc267060326"/>
      <w:bookmarkStart w:id="180" w:name="_Toc267060461"/>
      <w:bookmarkStart w:id="181" w:name="_Toc273178703"/>
    </w:p>
    <w:p>
      <w:pPr>
        <w:spacing w:line="380" w:lineRule="exact"/>
        <w:ind w:right="1120" w:firstLine="5600" w:firstLineChars="2000"/>
        <w:outlineLvl w:val="2"/>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ind w:right="1120" w:firstLine="5600" w:firstLineChars="2000"/>
        <w:outlineLvl w:val="2"/>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ind w:right="1120" w:firstLine="5600" w:firstLineChars="2000"/>
        <w:outlineLvl w:val="2"/>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ind w:right="1120"/>
        <w:jc w:val="center"/>
        <w:outlineLvl w:val="2"/>
        <w:rPr>
          <w:rFonts w:hint="eastAsia" w:ascii="仿宋" w:hAnsi="仿宋" w:eastAsia="仿宋" w:cs="仿宋"/>
          <w:b/>
          <w:bCs/>
          <w:color w:val="000000" w:themeColor="text1"/>
          <w:sz w:val="28"/>
          <w:szCs w:val="28"/>
          <w:lang w:val="zh-CN"/>
          <w14:textFill>
            <w14:solidFill>
              <w14:schemeClr w14:val="tx1"/>
            </w14:solidFill>
          </w14:textFill>
        </w:rPr>
      </w:pPr>
      <w:r>
        <w:rPr>
          <w:rFonts w:hint="eastAsia" w:ascii="仿宋" w:hAnsi="仿宋" w:eastAsia="仿宋" w:cs="仿宋"/>
          <w:b/>
          <w:bCs/>
          <w:color w:val="000000" w:themeColor="text1"/>
          <w:sz w:val="28"/>
          <w:szCs w:val="28"/>
          <w:lang w:val="zh-CN"/>
          <w14:textFill>
            <w14:solidFill>
              <w14:schemeClr w14:val="tx1"/>
            </w14:solidFill>
          </w14:textFill>
        </w:rPr>
        <w:t>（二）面粉类</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1095"/>
        <w:gridCol w:w="5100"/>
        <w:gridCol w:w="840"/>
        <w:gridCol w:w="870"/>
        <w:gridCol w:w="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66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序号</w:t>
            </w:r>
          </w:p>
        </w:tc>
        <w:tc>
          <w:tcPr>
            <w:tcW w:w="1095"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种类</w:t>
            </w:r>
          </w:p>
        </w:tc>
        <w:tc>
          <w:tcPr>
            <w:tcW w:w="510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质   量   要   求</w:t>
            </w:r>
          </w:p>
        </w:tc>
        <w:tc>
          <w:tcPr>
            <w:tcW w:w="84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每公斤报价</w:t>
            </w:r>
          </w:p>
        </w:tc>
        <w:tc>
          <w:tcPr>
            <w:tcW w:w="87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每袋（25公斤）价格</w:t>
            </w:r>
          </w:p>
        </w:tc>
        <w:tc>
          <w:tcPr>
            <w:tcW w:w="885"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9" w:hRule="atLeast"/>
        </w:trPr>
        <w:tc>
          <w:tcPr>
            <w:tcW w:w="66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109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高筋粉</w:t>
            </w:r>
          </w:p>
        </w:tc>
        <w:tc>
          <w:tcPr>
            <w:tcW w:w="51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面筋质（以湿基计）≥30.0％，蛋白质（以干基计）≥12.2％，水分≤14.5％，脂肪酸值（以湿基记）≤50粗细度CB36留存≤10％，气味、口味正常。</w:t>
            </w:r>
          </w:p>
        </w:tc>
        <w:tc>
          <w:tcPr>
            <w:tcW w:w="840" w:type="dxa"/>
            <w:noWrap w:val="0"/>
            <w:vAlign w:val="top"/>
          </w:tcPr>
          <w:p>
            <w:pPr>
              <w:jc w:val="center"/>
              <w:rPr>
                <w:rFonts w:hint="eastAsia" w:ascii="仿宋" w:hAnsi="仿宋" w:eastAsia="仿宋" w:cs="仿宋"/>
                <w:sz w:val="24"/>
                <w:szCs w:val="24"/>
                <w:lang w:val="en-US" w:eastAsia="zh-CN"/>
              </w:rPr>
            </w:pPr>
          </w:p>
        </w:tc>
        <w:tc>
          <w:tcPr>
            <w:tcW w:w="870" w:type="dxa"/>
            <w:noWrap w:val="0"/>
            <w:vAlign w:val="top"/>
          </w:tcPr>
          <w:p>
            <w:pPr>
              <w:jc w:val="center"/>
              <w:rPr>
                <w:rFonts w:hint="eastAsia" w:ascii="仿宋" w:hAnsi="仿宋" w:eastAsia="仿宋" w:cs="仿宋"/>
                <w:sz w:val="24"/>
                <w:szCs w:val="24"/>
                <w:lang w:val="en-US" w:eastAsia="zh-CN"/>
              </w:rPr>
            </w:pPr>
          </w:p>
        </w:tc>
        <w:tc>
          <w:tcPr>
            <w:tcW w:w="885"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2" w:hRule="atLeast"/>
        </w:trPr>
        <w:tc>
          <w:tcPr>
            <w:tcW w:w="66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09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馒头粉</w:t>
            </w:r>
          </w:p>
        </w:tc>
        <w:tc>
          <w:tcPr>
            <w:tcW w:w="51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灰分（以干基计）精制级≤0.55％、普通级≤0.70％、水分≤14％，湿面筋25.0-30％，粉质曲线稳定min≥7.0降落数值≥250，磁性金属物≤0.003g/kg气味、口味正常</w:t>
            </w:r>
          </w:p>
        </w:tc>
        <w:tc>
          <w:tcPr>
            <w:tcW w:w="840" w:type="dxa"/>
            <w:noWrap w:val="0"/>
            <w:vAlign w:val="top"/>
          </w:tcPr>
          <w:p>
            <w:pPr>
              <w:jc w:val="center"/>
              <w:rPr>
                <w:rFonts w:hint="eastAsia" w:ascii="仿宋" w:hAnsi="仿宋" w:eastAsia="仿宋" w:cs="仿宋"/>
                <w:sz w:val="24"/>
                <w:szCs w:val="24"/>
                <w:lang w:val="en-US" w:eastAsia="zh-CN"/>
              </w:rPr>
            </w:pPr>
          </w:p>
        </w:tc>
        <w:tc>
          <w:tcPr>
            <w:tcW w:w="870" w:type="dxa"/>
            <w:noWrap w:val="0"/>
            <w:vAlign w:val="top"/>
          </w:tcPr>
          <w:p>
            <w:pPr>
              <w:jc w:val="center"/>
              <w:rPr>
                <w:rFonts w:hint="eastAsia" w:ascii="仿宋" w:hAnsi="仿宋" w:eastAsia="仿宋" w:cs="仿宋"/>
                <w:sz w:val="24"/>
                <w:szCs w:val="24"/>
                <w:lang w:val="en-US" w:eastAsia="zh-CN"/>
              </w:rPr>
            </w:pPr>
          </w:p>
        </w:tc>
        <w:tc>
          <w:tcPr>
            <w:tcW w:w="885"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66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09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精制粉</w:t>
            </w:r>
          </w:p>
        </w:tc>
        <w:tc>
          <w:tcPr>
            <w:tcW w:w="51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灰分（以干基计）精制级≤0.6％、水分≤14％，湿面筋27％，脂肪酸酯≤60、降落数值S≥250、含砂量≤0.02％气味、口味正常</w:t>
            </w:r>
          </w:p>
        </w:tc>
        <w:tc>
          <w:tcPr>
            <w:tcW w:w="840" w:type="dxa"/>
            <w:noWrap w:val="0"/>
            <w:vAlign w:val="top"/>
          </w:tcPr>
          <w:p>
            <w:pPr>
              <w:jc w:val="center"/>
              <w:rPr>
                <w:rFonts w:hint="eastAsia" w:ascii="仿宋" w:hAnsi="仿宋" w:eastAsia="仿宋" w:cs="仿宋"/>
                <w:sz w:val="24"/>
                <w:szCs w:val="24"/>
                <w:lang w:val="en-US" w:eastAsia="zh-CN"/>
              </w:rPr>
            </w:pPr>
          </w:p>
        </w:tc>
        <w:tc>
          <w:tcPr>
            <w:tcW w:w="870" w:type="dxa"/>
            <w:noWrap w:val="0"/>
            <w:vAlign w:val="top"/>
          </w:tcPr>
          <w:p>
            <w:pPr>
              <w:jc w:val="center"/>
              <w:rPr>
                <w:rFonts w:hint="eastAsia" w:ascii="仿宋" w:hAnsi="仿宋" w:eastAsia="仿宋" w:cs="仿宋"/>
                <w:sz w:val="24"/>
                <w:szCs w:val="24"/>
                <w:lang w:val="en-US" w:eastAsia="zh-CN"/>
              </w:rPr>
            </w:pPr>
          </w:p>
        </w:tc>
        <w:tc>
          <w:tcPr>
            <w:tcW w:w="885"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66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1095"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雪花粉</w:t>
            </w:r>
          </w:p>
        </w:tc>
        <w:tc>
          <w:tcPr>
            <w:tcW w:w="51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结合实际出厂价和配送成本做出报价即可</w:t>
            </w:r>
          </w:p>
        </w:tc>
        <w:tc>
          <w:tcPr>
            <w:tcW w:w="840" w:type="dxa"/>
            <w:noWrap w:val="0"/>
            <w:vAlign w:val="top"/>
          </w:tcPr>
          <w:p>
            <w:pPr>
              <w:jc w:val="center"/>
              <w:rPr>
                <w:rFonts w:hint="eastAsia" w:ascii="仿宋" w:hAnsi="仿宋" w:eastAsia="仿宋" w:cs="仿宋"/>
                <w:sz w:val="24"/>
                <w:szCs w:val="24"/>
                <w:lang w:val="en-US" w:eastAsia="zh-CN"/>
              </w:rPr>
            </w:pPr>
          </w:p>
        </w:tc>
        <w:tc>
          <w:tcPr>
            <w:tcW w:w="870" w:type="dxa"/>
            <w:noWrap w:val="0"/>
            <w:vAlign w:val="top"/>
          </w:tcPr>
          <w:p>
            <w:pPr>
              <w:jc w:val="center"/>
              <w:rPr>
                <w:rFonts w:hint="eastAsia" w:ascii="仿宋" w:hAnsi="仿宋" w:eastAsia="仿宋" w:cs="仿宋"/>
                <w:sz w:val="24"/>
                <w:szCs w:val="24"/>
                <w:lang w:val="en-US" w:eastAsia="zh-CN"/>
              </w:rPr>
            </w:pPr>
          </w:p>
        </w:tc>
        <w:tc>
          <w:tcPr>
            <w:tcW w:w="885"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66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1095"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五得利五星</w:t>
            </w:r>
          </w:p>
        </w:tc>
        <w:tc>
          <w:tcPr>
            <w:tcW w:w="51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结合实际出厂价和配送成本做出报价即可</w:t>
            </w:r>
          </w:p>
        </w:tc>
        <w:tc>
          <w:tcPr>
            <w:tcW w:w="840" w:type="dxa"/>
            <w:noWrap w:val="0"/>
            <w:vAlign w:val="top"/>
          </w:tcPr>
          <w:p>
            <w:pPr>
              <w:jc w:val="center"/>
              <w:rPr>
                <w:rFonts w:hint="eastAsia" w:ascii="仿宋" w:hAnsi="仿宋" w:eastAsia="仿宋" w:cs="仿宋"/>
                <w:sz w:val="24"/>
                <w:szCs w:val="24"/>
                <w:lang w:val="en-US" w:eastAsia="zh-CN"/>
              </w:rPr>
            </w:pPr>
          </w:p>
        </w:tc>
        <w:tc>
          <w:tcPr>
            <w:tcW w:w="870" w:type="dxa"/>
            <w:noWrap w:val="0"/>
            <w:vAlign w:val="top"/>
          </w:tcPr>
          <w:p>
            <w:pPr>
              <w:jc w:val="center"/>
              <w:rPr>
                <w:rFonts w:hint="eastAsia" w:ascii="仿宋" w:hAnsi="仿宋" w:eastAsia="仿宋" w:cs="仿宋"/>
                <w:sz w:val="24"/>
                <w:szCs w:val="24"/>
                <w:lang w:val="en-US" w:eastAsia="zh-CN"/>
              </w:rPr>
            </w:pPr>
          </w:p>
        </w:tc>
        <w:tc>
          <w:tcPr>
            <w:tcW w:w="885"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66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1095"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五得利三星</w:t>
            </w:r>
          </w:p>
        </w:tc>
        <w:tc>
          <w:tcPr>
            <w:tcW w:w="51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结合实际出厂价和配送成本做出报价即可</w:t>
            </w:r>
          </w:p>
        </w:tc>
        <w:tc>
          <w:tcPr>
            <w:tcW w:w="840" w:type="dxa"/>
            <w:noWrap w:val="0"/>
            <w:vAlign w:val="top"/>
          </w:tcPr>
          <w:p>
            <w:pPr>
              <w:jc w:val="center"/>
              <w:rPr>
                <w:rFonts w:hint="eastAsia" w:ascii="仿宋" w:hAnsi="仿宋" w:eastAsia="仿宋" w:cs="仿宋"/>
                <w:sz w:val="24"/>
                <w:szCs w:val="24"/>
                <w:lang w:val="en-US" w:eastAsia="zh-CN"/>
              </w:rPr>
            </w:pPr>
          </w:p>
        </w:tc>
        <w:tc>
          <w:tcPr>
            <w:tcW w:w="870" w:type="dxa"/>
            <w:noWrap w:val="0"/>
            <w:vAlign w:val="top"/>
          </w:tcPr>
          <w:p>
            <w:pPr>
              <w:jc w:val="center"/>
              <w:rPr>
                <w:rFonts w:hint="eastAsia" w:ascii="仿宋" w:hAnsi="仿宋" w:eastAsia="仿宋" w:cs="仿宋"/>
                <w:sz w:val="24"/>
                <w:szCs w:val="24"/>
                <w:lang w:val="en-US" w:eastAsia="zh-CN"/>
              </w:rPr>
            </w:pPr>
          </w:p>
        </w:tc>
        <w:tc>
          <w:tcPr>
            <w:tcW w:w="885" w:type="dxa"/>
            <w:noWrap w:val="0"/>
            <w:vAlign w:val="top"/>
          </w:tcPr>
          <w:p>
            <w:pPr>
              <w:jc w:val="center"/>
              <w:rPr>
                <w:rFonts w:hint="eastAsia" w:ascii="仿宋" w:hAnsi="仿宋" w:eastAsia="仿宋" w:cs="仿宋"/>
                <w:sz w:val="24"/>
                <w:szCs w:val="24"/>
                <w:lang w:val="en-US" w:eastAsia="zh-CN"/>
              </w:rPr>
            </w:pPr>
          </w:p>
        </w:tc>
      </w:tr>
    </w:tbl>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5600" w:firstLineChars="20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p>
    <w:p>
      <w:pPr>
        <w:jc w:val="both"/>
        <w:outlineLvl w:val="1"/>
        <w:rPr>
          <w:rFonts w:hint="eastAsia" w:ascii="仿宋" w:hAnsi="仿宋" w:eastAsia="仿宋" w:cs="仿宋"/>
          <w:b/>
          <w:bCs/>
          <w:color w:val="000000" w:themeColor="text1"/>
          <w:sz w:val="28"/>
          <w:szCs w:val="28"/>
          <w14:textFill>
            <w14:solidFill>
              <w14:schemeClr w14:val="tx1"/>
            </w14:solidFill>
          </w14:textFill>
        </w:rPr>
      </w:pPr>
    </w:p>
    <w:p>
      <w:pPr>
        <w:jc w:val="both"/>
        <w:outlineLvl w:val="1"/>
        <w:rPr>
          <w:rFonts w:hint="eastAsia" w:ascii="仿宋" w:hAnsi="仿宋" w:eastAsia="仿宋" w:cs="仿宋"/>
          <w:b/>
          <w:bCs/>
          <w:color w:val="000000" w:themeColor="text1"/>
          <w:sz w:val="28"/>
          <w:szCs w:val="28"/>
          <w14:textFill>
            <w14:solidFill>
              <w14:schemeClr w14:val="tx1"/>
            </w14:solidFill>
          </w14:textFill>
        </w:rPr>
      </w:pPr>
    </w:p>
    <w:p>
      <w:pPr>
        <w:numPr>
          <w:ilvl w:val="0"/>
          <w:numId w:val="4"/>
        </w:numPr>
        <w:jc w:val="center"/>
        <w:outlineLvl w:val="1"/>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食用油类</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1110"/>
        <w:gridCol w:w="5295"/>
        <w:gridCol w:w="1080"/>
        <w:gridCol w:w="12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76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序号</w:t>
            </w:r>
          </w:p>
        </w:tc>
        <w:tc>
          <w:tcPr>
            <w:tcW w:w="111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种类</w:t>
            </w:r>
          </w:p>
        </w:tc>
        <w:tc>
          <w:tcPr>
            <w:tcW w:w="529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质  量 要  求</w:t>
            </w:r>
          </w:p>
        </w:tc>
        <w:tc>
          <w:tcPr>
            <w:tcW w:w="108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每桶报价（20升）</w:t>
            </w:r>
          </w:p>
        </w:tc>
        <w:tc>
          <w:tcPr>
            <w:tcW w:w="123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3" w:hRule="atLeast"/>
        </w:trPr>
        <w:tc>
          <w:tcPr>
            <w:tcW w:w="76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1110"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p>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大豆油</w:t>
            </w:r>
          </w:p>
        </w:tc>
        <w:tc>
          <w:tcPr>
            <w:tcW w:w="5295" w:type="dxa"/>
            <w:noWrap w:val="0"/>
            <w:vAlign w:val="top"/>
          </w:tcPr>
          <w:p>
            <w:pPr>
              <w:jc w:val="center"/>
              <w:rPr>
                <w:rFonts w:hint="eastAsia" w:ascii="仿宋" w:hAnsi="仿宋" w:eastAsia="仿宋" w:cs="仿宋"/>
                <w:sz w:val="24"/>
                <w:szCs w:val="24"/>
                <w:lang w:val="en-US" w:eastAsia="zh-CN"/>
              </w:rPr>
            </w:pPr>
          </w:p>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纯正非转基因一级大豆油，严禁添加其他油脂，杜绝小厂及罐装类型，必须为厂家产销。酸值≤0.20％，过氧化值≤5.0mmoL/kg、黄曲霉素B1≤10ug/Kg、溶剂残留量mg/Kg不得检出，色泽≤Y10  R1.0，透明度：澄清，透明，气滋味：无气味，口感好，水分≤0.05％，不溶性杂质≤0.05％冷冻实验：澄清、透明，烟点≥215℃，280℃油色不变、无析出物</w:t>
            </w:r>
          </w:p>
        </w:tc>
        <w:tc>
          <w:tcPr>
            <w:tcW w:w="1080" w:type="dxa"/>
            <w:noWrap w:val="0"/>
            <w:vAlign w:val="top"/>
          </w:tcPr>
          <w:p>
            <w:pPr>
              <w:jc w:val="center"/>
              <w:rPr>
                <w:rFonts w:hint="eastAsia" w:ascii="仿宋" w:hAnsi="仿宋" w:eastAsia="仿宋" w:cs="仿宋"/>
                <w:sz w:val="24"/>
                <w:szCs w:val="24"/>
                <w:lang w:val="en-US" w:eastAsia="zh-CN"/>
              </w:rPr>
            </w:pPr>
          </w:p>
        </w:tc>
        <w:tc>
          <w:tcPr>
            <w:tcW w:w="1230" w:type="dxa"/>
            <w:noWrap w:val="0"/>
            <w:vAlign w:val="top"/>
          </w:tcPr>
          <w:p>
            <w:pPr>
              <w:jc w:val="center"/>
              <w:rPr>
                <w:rFonts w:hint="eastAsia" w:ascii="仿宋" w:hAnsi="仿宋" w:eastAsia="仿宋" w:cs="仿宋"/>
                <w:sz w:val="24"/>
                <w:szCs w:val="24"/>
                <w:lang w:val="en-US" w:eastAsia="zh-CN"/>
              </w:rPr>
            </w:pPr>
          </w:p>
        </w:tc>
      </w:tr>
    </w:tbl>
    <w:p>
      <w:pPr>
        <w:jc w:val="center"/>
        <w:rPr>
          <w:rFonts w:hint="eastAsia" w:ascii="仿宋" w:hAnsi="仿宋" w:eastAsia="仿宋" w:cs="仿宋"/>
          <w:sz w:val="24"/>
          <w:szCs w:val="24"/>
          <w:lang w:val="en-US" w:eastAsia="zh-CN"/>
        </w:rPr>
      </w:pPr>
    </w:p>
    <w:p>
      <w:pPr>
        <w:spacing w:line="360" w:lineRule="auto"/>
        <w:ind w:right="960" w:firstLine="3654" w:firstLineChars="1300"/>
        <w:jc w:val="both"/>
        <w:rPr>
          <w:rFonts w:hint="eastAsia" w:ascii="仿宋" w:hAnsi="仿宋" w:eastAsia="仿宋" w:cs="仿宋"/>
          <w:b/>
          <w:bCs/>
          <w:color w:val="000000" w:themeColor="text1"/>
          <w:sz w:val="28"/>
          <w:szCs w:val="28"/>
          <w:lang w:val="en-US" w:eastAsia="zh-CN"/>
          <w14:textFill>
            <w14:solidFill>
              <w14:schemeClr w14:val="tx1"/>
            </w14:solidFill>
          </w14:textFill>
        </w:rPr>
      </w:pPr>
    </w:p>
    <w:p>
      <w:pPr>
        <w:spacing w:line="360" w:lineRule="auto"/>
        <w:ind w:right="960" w:firstLine="3654" w:firstLineChars="1300"/>
        <w:jc w:val="both"/>
        <w:rPr>
          <w:rFonts w:hint="eastAsia" w:ascii="仿宋" w:hAnsi="仿宋" w:eastAsia="仿宋" w:cs="仿宋"/>
          <w:b/>
          <w:bCs/>
          <w:color w:val="000000" w:themeColor="text1"/>
          <w:sz w:val="28"/>
          <w:szCs w:val="28"/>
          <w:lang w:val="en-US" w:eastAsia="zh-CN"/>
          <w14:textFill>
            <w14:solidFill>
              <w14:schemeClr w14:val="tx1"/>
            </w14:solidFill>
          </w14:textFill>
        </w:rPr>
      </w:pPr>
    </w:p>
    <w:p>
      <w:pPr>
        <w:spacing w:line="360" w:lineRule="auto"/>
        <w:ind w:right="960" w:firstLine="3654" w:firstLineChars="1300"/>
        <w:jc w:val="both"/>
        <w:rPr>
          <w:rFonts w:hint="eastAsia" w:ascii="仿宋" w:hAnsi="仿宋" w:eastAsia="仿宋" w:cs="仿宋"/>
          <w:b/>
          <w:bCs/>
          <w:color w:val="000000" w:themeColor="text1"/>
          <w:sz w:val="28"/>
          <w:szCs w:val="28"/>
          <w:lang w:val="en-US" w:eastAsia="zh-CN"/>
          <w14:textFill>
            <w14:solidFill>
              <w14:schemeClr w14:val="tx1"/>
            </w14:solidFill>
          </w14:textFill>
        </w:rPr>
      </w:pPr>
    </w:p>
    <w:p>
      <w:pPr>
        <w:spacing w:line="360" w:lineRule="auto"/>
        <w:ind w:right="960" w:firstLine="3654" w:firstLineChars="1300"/>
        <w:jc w:val="both"/>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 xml:space="preserve"> </w:t>
      </w: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5600" w:firstLineChars="20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p>
    <w:p>
      <w:pPr>
        <w:spacing w:line="380" w:lineRule="exact"/>
        <w:ind w:right="1120"/>
        <w:jc w:val="center"/>
        <w:outlineLvl w:val="2"/>
        <w:rPr>
          <w:rFonts w:hint="eastAsia" w:ascii="仿宋" w:hAnsi="仿宋" w:eastAsia="仿宋" w:cs="仿宋"/>
          <w:b/>
          <w:bCs/>
          <w:color w:val="000000" w:themeColor="text1"/>
          <w:sz w:val="28"/>
          <w:szCs w:val="28"/>
          <w:lang w:val="zh-CN"/>
          <w14:textFill>
            <w14:solidFill>
              <w14:schemeClr w14:val="tx1"/>
            </w14:solidFill>
          </w14:textFill>
        </w:rPr>
      </w:pPr>
    </w:p>
    <w:p>
      <w:pPr>
        <w:spacing w:line="380" w:lineRule="exact"/>
        <w:ind w:right="1120"/>
        <w:jc w:val="center"/>
        <w:outlineLvl w:val="2"/>
        <w:rPr>
          <w:rFonts w:hint="eastAsia" w:ascii="仿宋" w:hAnsi="仿宋" w:eastAsia="仿宋" w:cs="仿宋"/>
          <w:b/>
          <w:bCs/>
          <w:color w:val="000000" w:themeColor="text1"/>
          <w:sz w:val="28"/>
          <w:szCs w:val="28"/>
          <w:lang w:val="zh-CN"/>
          <w14:textFill>
            <w14:solidFill>
              <w14:schemeClr w14:val="tx1"/>
            </w14:solidFill>
          </w14:textFill>
        </w:rPr>
      </w:pPr>
    </w:p>
    <w:p>
      <w:pPr>
        <w:spacing w:line="380" w:lineRule="exact"/>
        <w:ind w:right="1120"/>
        <w:jc w:val="center"/>
        <w:outlineLvl w:val="2"/>
        <w:rPr>
          <w:rFonts w:hint="eastAsia" w:ascii="仿宋" w:hAnsi="仿宋" w:eastAsia="仿宋" w:cs="仿宋"/>
          <w:b/>
          <w:bCs/>
          <w:color w:val="000000" w:themeColor="text1"/>
          <w:sz w:val="28"/>
          <w:szCs w:val="28"/>
          <w:lang w:val="zh-CN"/>
          <w14:textFill>
            <w14:solidFill>
              <w14:schemeClr w14:val="tx1"/>
            </w14:solidFill>
          </w14:textFill>
        </w:rPr>
      </w:pPr>
    </w:p>
    <w:p>
      <w:pPr>
        <w:spacing w:line="380" w:lineRule="exact"/>
        <w:ind w:right="1120"/>
        <w:jc w:val="both"/>
        <w:outlineLvl w:val="2"/>
        <w:rPr>
          <w:rFonts w:hint="eastAsia" w:ascii="仿宋" w:hAnsi="仿宋" w:eastAsia="仿宋" w:cs="仿宋"/>
          <w:b/>
          <w:bCs/>
          <w:color w:val="000000" w:themeColor="text1"/>
          <w:sz w:val="28"/>
          <w:szCs w:val="28"/>
          <w:lang w:val="zh-CN"/>
          <w14:textFill>
            <w14:solidFill>
              <w14:schemeClr w14:val="tx1"/>
            </w14:solidFill>
          </w14:textFill>
        </w:rPr>
      </w:pPr>
    </w:p>
    <w:p>
      <w:pPr>
        <w:numPr>
          <w:ilvl w:val="0"/>
          <w:numId w:val="4"/>
        </w:numPr>
        <w:ind w:left="0" w:leftChars="0" w:firstLine="0" w:firstLineChars="0"/>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肉类</w:t>
      </w:r>
    </w:p>
    <w:p>
      <w:pPr>
        <w:keepNext w:val="0"/>
        <w:keepLines w:val="0"/>
        <w:pageBreakBefore w:val="0"/>
        <w:widowControl/>
        <w:numPr>
          <w:ilvl w:val="0"/>
          <w:numId w:val="0"/>
        </w:numPr>
        <w:kinsoku/>
        <w:wordWrap/>
        <w:overflowPunct/>
        <w:topLinePunct w:val="0"/>
        <w:autoSpaceDE/>
        <w:autoSpaceDN/>
        <w:bidi w:val="0"/>
        <w:adjustRightInd/>
        <w:snapToGrid/>
        <w:spacing w:after="160" w:line="240" w:lineRule="auto"/>
        <w:ind w:firstLine="560" w:firstLineChars="200"/>
        <w:jc w:val="both"/>
        <w:textAlignment w:val="auto"/>
        <w:outlineLvl w:val="1"/>
        <w:rPr>
          <w:rFonts w:hint="eastAsia" w:ascii="仿宋" w:hAnsi="仿宋" w:eastAsia="仿宋" w:cs="仿宋"/>
          <w:b w:val="0"/>
          <w:bCs w:val="0"/>
          <w:color w:val="000000" w:themeColor="text1"/>
          <w:sz w:val="28"/>
          <w:szCs w:val="28"/>
          <w:lang w:val="en-US" w:eastAsia="zh-CN"/>
          <w14:textFill>
            <w14:solidFill>
              <w14:schemeClr w14:val="tx1"/>
            </w14:solidFill>
          </w14:textFill>
        </w:rPr>
      </w:pPr>
      <w:r>
        <w:rPr>
          <w:rFonts w:hint="eastAsia" w:ascii="仿宋" w:hAnsi="仿宋" w:eastAsia="仿宋" w:cs="仿宋"/>
          <w:b w:val="0"/>
          <w:bCs w:val="0"/>
          <w:color w:val="000000" w:themeColor="text1"/>
          <w:sz w:val="28"/>
          <w:szCs w:val="28"/>
          <w:lang w:val="en-US" w:eastAsia="zh-CN"/>
          <w14:textFill>
            <w14:solidFill>
              <w14:schemeClr w14:val="tx1"/>
            </w14:solidFill>
          </w14:textFill>
        </w:rPr>
        <w:t>由于肉类品种较多，供应商按照以下固定品种进行报价，报价表要体现品种、厂家品牌、规格型号、价格、以及该品牌的知名度。质量要求具体要求如下：（禁用进口品牌）</w:t>
      </w:r>
    </w:p>
    <w:p>
      <w:pPr>
        <w:keepNext w:val="0"/>
        <w:keepLines w:val="0"/>
        <w:pageBreakBefore w:val="0"/>
        <w:widowControl/>
        <w:kinsoku/>
        <w:wordWrap/>
        <w:overflowPunct/>
        <w:topLinePunct w:val="0"/>
        <w:autoSpaceDE/>
        <w:autoSpaceDN/>
        <w:bidi w:val="0"/>
        <w:adjustRightInd/>
        <w:snapToGrid/>
        <w:spacing w:line="240" w:lineRule="auto"/>
        <w:ind w:left="147" w:leftChars="67" w:firstLine="560" w:firstLineChars="200"/>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1、猪肉类产品：肌肉有光泽，红色均匀，脂肪乳白色，纤维清晰，有坚韧性，指压后凹陷立刻恢复，外表湿润不粘手具有鲜肉明显气味，无异味，白中透淡红色，肉面平整，四周见花，肌肉呈淡红色或灰红色。</w:t>
      </w:r>
    </w:p>
    <w:p>
      <w:pPr>
        <w:keepNext w:val="0"/>
        <w:keepLines w:val="0"/>
        <w:pageBreakBefore w:val="0"/>
        <w:widowControl/>
        <w:kinsoku/>
        <w:wordWrap/>
        <w:overflowPunct/>
        <w:topLinePunct w:val="0"/>
        <w:autoSpaceDE/>
        <w:autoSpaceDN/>
        <w:bidi w:val="0"/>
        <w:adjustRightInd/>
        <w:snapToGrid/>
        <w:spacing w:line="240" w:lineRule="auto"/>
        <w:ind w:left="147" w:leftChars="67" w:firstLine="560" w:firstLineChars="200"/>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2、鸡肉类产品：块型完整，无缺损，无残存羽毛，无残存留骨，肉色正常无伤疤和溃烂，无血肿，无异味，无异常色版。</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842"/>
        <w:gridCol w:w="2160"/>
        <w:gridCol w:w="1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种类</w:t>
            </w:r>
          </w:p>
        </w:tc>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品牌</w:t>
            </w:r>
          </w:p>
        </w:tc>
        <w:tc>
          <w:tcPr>
            <w:tcW w:w="1842"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规格/型号</w:t>
            </w:r>
          </w:p>
        </w:tc>
        <w:tc>
          <w:tcPr>
            <w:tcW w:w="216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价格</w:t>
            </w:r>
          </w:p>
        </w:tc>
        <w:tc>
          <w:tcPr>
            <w:tcW w:w="198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品牌知名度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鸡大胸肉</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鸡架</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center"/>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100-120琵琶腿</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130-150琵琶腿</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鸭胸（去皮、修边分别报价）</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精制鸭腿</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鸭边腿</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甜不辣</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鱼豆腐</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撒尿牛肉丸</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紫薯球</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龙虾排</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水晶包</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五花肉</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前腿肉</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鸡叉骨</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去骨鸡腿肉</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手抓饼</w:t>
            </w:r>
          </w:p>
        </w:tc>
        <w:tc>
          <w:tcPr>
            <w:tcW w:w="1704" w:type="dxa"/>
            <w:noWrap w:val="0"/>
            <w:vAlign w:val="top"/>
          </w:tcPr>
          <w:p>
            <w:pPr>
              <w:jc w:val="center"/>
              <w:rPr>
                <w:rFonts w:hint="eastAsia" w:ascii="仿宋" w:hAnsi="仿宋" w:eastAsia="仿宋" w:cs="仿宋"/>
                <w:sz w:val="24"/>
                <w:szCs w:val="24"/>
                <w:lang w:val="en-US" w:eastAsia="zh-CN"/>
              </w:rPr>
            </w:pPr>
          </w:p>
        </w:tc>
        <w:tc>
          <w:tcPr>
            <w:tcW w:w="1842" w:type="dxa"/>
            <w:noWrap w:val="0"/>
            <w:vAlign w:val="top"/>
          </w:tcPr>
          <w:p>
            <w:pPr>
              <w:jc w:val="center"/>
              <w:rPr>
                <w:rFonts w:hint="eastAsia" w:ascii="仿宋" w:hAnsi="仿宋" w:eastAsia="仿宋" w:cs="仿宋"/>
                <w:sz w:val="24"/>
                <w:szCs w:val="24"/>
                <w:lang w:val="en-US" w:eastAsia="zh-CN"/>
              </w:rPr>
            </w:pPr>
          </w:p>
        </w:tc>
        <w:tc>
          <w:tcPr>
            <w:tcW w:w="2160" w:type="dxa"/>
            <w:noWrap w:val="0"/>
            <w:vAlign w:val="top"/>
          </w:tcPr>
          <w:p>
            <w:pPr>
              <w:jc w:val="center"/>
              <w:rPr>
                <w:rFonts w:hint="eastAsia" w:ascii="仿宋" w:hAnsi="仿宋" w:eastAsia="仿宋" w:cs="仿宋"/>
                <w:sz w:val="24"/>
                <w:szCs w:val="24"/>
                <w:lang w:val="en-US" w:eastAsia="zh-CN"/>
              </w:rPr>
            </w:pPr>
          </w:p>
        </w:tc>
        <w:tc>
          <w:tcPr>
            <w:tcW w:w="1980" w:type="dxa"/>
            <w:noWrap w:val="0"/>
            <w:vAlign w:val="top"/>
          </w:tcPr>
          <w:p>
            <w:pPr>
              <w:jc w:val="center"/>
              <w:rPr>
                <w:rFonts w:hint="eastAsia" w:ascii="仿宋" w:hAnsi="仿宋" w:eastAsia="仿宋" w:cs="仿宋"/>
                <w:sz w:val="24"/>
                <w:szCs w:val="24"/>
                <w:lang w:val="en-US" w:eastAsia="zh-CN"/>
              </w:rPr>
            </w:pPr>
          </w:p>
        </w:tc>
      </w:tr>
    </w:tbl>
    <w:p>
      <w:pPr>
        <w:spacing w:line="380" w:lineRule="exact"/>
        <w:ind w:left="147" w:leftChars="67"/>
        <w:rPr>
          <w:rFonts w:hint="eastAsia" w:ascii="仿宋" w:hAnsi="仿宋" w:eastAsia="仿宋" w:cs="仿宋"/>
          <w:b w:val="0"/>
          <w:bCs w:val="0"/>
          <w:color w:val="000000" w:themeColor="text1"/>
          <w:sz w:val="28"/>
          <w:szCs w:val="28"/>
          <w:lang w:val="en-US" w:eastAsia="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3640" w:firstLineChars="1300"/>
        <w:jc w:val="both"/>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numPr>
          <w:ilvl w:val="0"/>
          <w:numId w:val="0"/>
        </w:numPr>
        <w:spacing w:after="160" w:line="252" w:lineRule="auto"/>
        <w:ind w:firstLine="5600" w:firstLineChars="200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p>
    <w:p>
      <w:pPr>
        <w:numPr>
          <w:ilvl w:val="0"/>
          <w:numId w:val="0"/>
        </w:numPr>
        <w:spacing w:after="160" w:line="252" w:lineRule="auto"/>
        <w:ind w:leftChars="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ind w:leftChars="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ind w:leftChars="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ind w:leftChars="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rPr>
          <w:rFonts w:hint="eastAsia" w:ascii="仿宋" w:hAnsi="仿宋" w:eastAsia="仿宋" w:cs="仿宋"/>
          <w:b/>
          <w:bCs/>
          <w:color w:val="000000"/>
          <w:kern w:val="0"/>
          <w:sz w:val="28"/>
          <w:szCs w:val="28"/>
          <w:lang w:val="en-US" w:eastAsia="zh-CN"/>
        </w:rPr>
      </w:pPr>
      <w:r>
        <w:rPr>
          <w:rFonts w:hint="eastAsia" w:ascii="仿宋" w:hAnsi="仿宋" w:eastAsia="仿宋" w:cs="仿宋"/>
          <w:color w:val="000000"/>
          <w:kern w:val="0"/>
          <w:szCs w:val="21"/>
          <w:lang w:val="en-US" w:eastAsia="zh-CN"/>
        </w:rPr>
        <w:t xml:space="preserve">                           </w:t>
      </w:r>
      <w:r>
        <w:rPr>
          <w:rFonts w:hint="eastAsia" w:ascii="仿宋" w:hAnsi="仿宋" w:eastAsia="仿宋" w:cs="仿宋"/>
          <w:b/>
          <w:bCs/>
          <w:color w:val="000000"/>
          <w:kern w:val="0"/>
          <w:sz w:val="28"/>
          <w:szCs w:val="28"/>
          <w:lang w:val="en-US" w:eastAsia="zh-CN"/>
        </w:rPr>
        <w:t xml:space="preserve">  （五）</w:t>
      </w:r>
      <w:r>
        <w:rPr>
          <w:rFonts w:hint="eastAsia" w:ascii="仿宋" w:hAnsi="仿宋" w:eastAsia="仿宋" w:cs="仿宋"/>
          <w:color w:val="000000"/>
          <w:kern w:val="0"/>
          <w:szCs w:val="21"/>
          <w:lang w:val="en-US" w:eastAsia="zh-CN"/>
        </w:rPr>
        <w:t xml:space="preserve"> </w:t>
      </w:r>
      <w:r>
        <w:rPr>
          <w:rFonts w:hint="eastAsia" w:ascii="仿宋" w:hAnsi="仿宋" w:eastAsia="仿宋" w:cs="仿宋"/>
          <w:b/>
          <w:bCs/>
          <w:color w:val="000000"/>
          <w:kern w:val="0"/>
          <w:sz w:val="28"/>
          <w:szCs w:val="28"/>
          <w:lang w:val="en-US" w:eastAsia="zh-CN"/>
        </w:rPr>
        <w:t>干调类</w:t>
      </w:r>
    </w:p>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由于干调类品种较多，供应商</w:t>
      </w:r>
      <w:r>
        <w:rPr>
          <w:rFonts w:hint="eastAsia" w:ascii="仿宋" w:hAnsi="仿宋" w:eastAsia="仿宋" w:cs="仿宋"/>
          <w:color w:val="000000"/>
          <w:kern w:val="0"/>
          <w:sz w:val="28"/>
          <w:szCs w:val="28"/>
          <w:lang w:eastAsia="zh-CN"/>
        </w:rPr>
        <w:t>按照以下固定品种进行报价</w:t>
      </w:r>
      <w:r>
        <w:rPr>
          <w:rFonts w:hint="eastAsia" w:ascii="仿宋" w:hAnsi="仿宋" w:eastAsia="仿宋" w:cs="仿宋"/>
          <w:color w:val="000000"/>
          <w:kern w:val="0"/>
          <w:sz w:val="28"/>
          <w:szCs w:val="28"/>
        </w:rPr>
        <w:t>，报价表要求体现有品种、单瓶报价、整箱报价、品牌。具体要求如下：</w:t>
      </w:r>
    </w:p>
    <w:p>
      <w:pPr>
        <w:keepNext w:val="0"/>
        <w:keepLines w:val="0"/>
        <w:pageBreakBefore w:val="0"/>
        <w:widowControl/>
        <w:kinsoku/>
        <w:wordWrap/>
        <w:overflowPunct/>
        <w:topLinePunct w:val="0"/>
        <w:autoSpaceDE/>
        <w:autoSpaceDN/>
        <w:bidi w:val="0"/>
        <w:adjustRightInd/>
        <w:snapToGrid/>
        <w:spacing w:line="360" w:lineRule="exact"/>
        <w:ind w:left="147" w:leftChars="67"/>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keepNext w:val="0"/>
        <w:keepLines w:val="0"/>
        <w:pageBreakBefore w:val="0"/>
        <w:widowControl/>
        <w:kinsoku/>
        <w:wordWrap/>
        <w:overflowPunct/>
        <w:topLinePunct w:val="0"/>
        <w:autoSpaceDE/>
        <w:autoSpaceDN/>
        <w:bidi w:val="0"/>
        <w:adjustRightInd/>
        <w:snapToGrid/>
        <w:spacing w:line="360" w:lineRule="exact"/>
        <w:ind w:left="147" w:leftChars="67"/>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5"/>
        <w:tblW w:w="87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3"/>
        <w:gridCol w:w="1935"/>
        <w:gridCol w:w="1920"/>
        <w:gridCol w:w="1605"/>
        <w:gridCol w:w="1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品种</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规格/型号/重量</w:t>
            </w: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单公斤/单瓶/单包报价（元）</w:t>
            </w: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整箱/整包报价（元）</w:t>
            </w: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萝卜丁</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雪菜</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酸豆角</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盐</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粉丝</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米粉</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生抽</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老抽王</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豆瓣酱</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十三香</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南德</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甜面酱</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蚝油</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柱候酱</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豆沙</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银耳</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云丝</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干香菇</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木耳</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八角</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桂皮</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草果</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紫草</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白芷</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肉扣</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白扣</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栀子</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小茴香</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小茴香粉</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丁香</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陈皮粉</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陈皮</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姜黄粉</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山奈</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白芝麻</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黑芝麻</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香叶</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料酒</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白醋</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白糖</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酵母</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鸡精</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味精</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奥尔良腌料</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3"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沙拉酱</w:t>
            </w:r>
          </w:p>
        </w:tc>
        <w:tc>
          <w:tcPr>
            <w:tcW w:w="193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920"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05"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c>
          <w:tcPr>
            <w:tcW w:w="1691" w:type="dxa"/>
            <w:noWrap w:val="0"/>
            <w:vAlign w:val="top"/>
          </w:tcPr>
          <w:p>
            <w:pPr>
              <w:keepNext w:val="0"/>
              <w:keepLines w:val="0"/>
              <w:pageBreakBefore w:val="0"/>
              <w:widowControl/>
              <w:kinsoku/>
              <w:wordWrap/>
              <w:overflowPunct/>
              <w:topLinePunct w:val="0"/>
              <w:autoSpaceDE/>
              <w:autoSpaceDN/>
              <w:bidi w:val="0"/>
              <w:adjustRightInd/>
              <w:snapToGrid/>
              <w:spacing w:after="0"/>
              <w:jc w:val="left"/>
              <w:textAlignment w:val="auto"/>
              <w:rPr>
                <w:rFonts w:hint="eastAsia" w:ascii="仿宋" w:hAnsi="仿宋" w:eastAsia="仿宋" w:cs="仿宋"/>
                <w:sz w:val="24"/>
                <w:szCs w:val="24"/>
                <w:lang w:val="en-US" w:eastAsia="zh-CN"/>
              </w:rPr>
            </w:pPr>
          </w:p>
        </w:tc>
      </w:tr>
    </w:tbl>
    <w:p>
      <w:pPr>
        <w:spacing w:line="360" w:lineRule="auto"/>
        <w:ind w:right="960"/>
        <w:jc w:val="both"/>
        <w:rPr>
          <w:rFonts w:hint="eastAsia" w:ascii="仿宋" w:hAnsi="仿宋" w:eastAsia="仿宋" w:cs="仿宋"/>
          <w:color w:val="000000"/>
          <w:kern w:val="0"/>
          <w:szCs w:val="21"/>
          <w:lang w:val="en-US" w:eastAsia="zh-CN"/>
        </w:rPr>
      </w:pPr>
      <w:r>
        <w:rPr>
          <w:rFonts w:hint="eastAsia" w:ascii="仿宋" w:hAnsi="仿宋" w:eastAsia="仿宋" w:cs="仿宋"/>
          <w:color w:val="000000"/>
          <w:kern w:val="0"/>
          <w:szCs w:val="21"/>
          <w:lang w:val="en-US" w:eastAsia="zh-CN"/>
        </w:rPr>
        <w:t xml:space="preserve">                                </w:t>
      </w:r>
    </w:p>
    <w:p>
      <w:pPr>
        <w:spacing w:line="360" w:lineRule="auto"/>
        <w:ind w:right="960"/>
        <w:jc w:val="both"/>
        <w:rPr>
          <w:rFonts w:hint="eastAsia" w:ascii="仿宋" w:hAnsi="仿宋" w:eastAsia="仿宋" w:cs="仿宋"/>
          <w:color w:val="000000"/>
          <w:kern w:val="0"/>
          <w:szCs w:val="21"/>
          <w:lang w:val="en-US" w:eastAsia="zh-CN"/>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kern w:val="0"/>
          <w:szCs w:val="21"/>
          <w:lang w:val="en-US" w:eastAsia="zh-CN"/>
        </w:rPr>
        <w:t xml:space="preserve">         </w:t>
      </w: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numPr>
          <w:ilvl w:val="0"/>
          <w:numId w:val="0"/>
        </w:numPr>
        <w:spacing w:after="160" w:line="252" w:lineRule="auto"/>
        <w:ind w:firstLine="5600" w:firstLineChars="200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p>
    <w:p>
      <w:pPr>
        <w:rPr>
          <w:rFonts w:hint="eastAsia" w:ascii="仿宋" w:hAnsi="仿宋" w:eastAsia="仿宋" w:cs="仿宋"/>
          <w:color w:val="000000"/>
          <w:kern w:val="0"/>
          <w:szCs w:val="21"/>
          <w:lang w:val="en-US" w:eastAsia="zh-CN"/>
        </w:rPr>
      </w:pPr>
    </w:p>
    <w:p>
      <w:pPr>
        <w:numPr>
          <w:ilvl w:val="0"/>
          <w:numId w:val="0"/>
        </w:numPr>
        <w:spacing w:after="160" w:line="252" w:lineRule="auto"/>
        <w:ind w:leftChars="0"/>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0"/>
        </w:numPr>
        <w:spacing w:after="160" w:line="252" w:lineRule="auto"/>
        <w:jc w:val="both"/>
        <w:outlineLvl w:val="1"/>
        <w:rPr>
          <w:rFonts w:hint="eastAsia" w:ascii="仿宋" w:hAnsi="仿宋" w:eastAsia="仿宋" w:cs="仿宋"/>
          <w:b/>
          <w:bCs/>
          <w:color w:val="000000" w:themeColor="text1"/>
          <w:sz w:val="28"/>
          <w:szCs w:val="28"/>
          <w:lang w:val="en-US" w:eastAsia="zh-CN"/>
          <w14:textFill>
            <w14:solidFill>
              <w14:schemeClr w14:val="tx1"/>
            </w14:solidFill>
          </w14:textFill>
        </w:rPr>
      </w:pPr>
    </w:p>
    <w:p>
      <w:pPr>
        <w:numPr>
          <w:ilvl w:val="0"/>
          <w:numId w:val="4"/>
        </w:numPr>
        <w:spacing w:after="160" w:line="252" w:lineRule="auto"/>
        <w:ind w:left="0" w:leftChars="0" w:firstLine="0" w:firstLineChars="0"/>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蔬菜类</w:t>
      </w:r>
    </w:p>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质量要求：</w:t>
      </w:r>
    </w:p>
    <w:p>
      <w:pPr>
        <w:keepNext w:val="0"/>
        <w:keepLines w:val="0"/>
        <w:pageBreakBefore w:val="0"/>
        <w:widowControl/>
        <w:numPr>
          <w:ilvl w:val="0"/>
          <w:numId w:val="0"/>
        </w:numPr>
        <w:kinsoku/>
        <w:wordWrap/>
        <w:overflowPunct/>
        <w:topLinePunct w:val="0"/>
        <w:autoSpaceDE/>
        <w:autoSpaceDN/>
        <w:bidi w:val="0"/>
        <w:adjustRightInd/>
        <w:snapToGrid/>
        <w:spacing w:after="160" w:line="400" w:lineRule="exact"/>
        <w:ind w:leftChars="0"/>
        <w:jc w:val="both"/>
        <w:textAlignment w:val="auto"/>
        <w:outlineLvl w:val="1"/>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个体整齐，发育正常，成熟良好，质地口味俱佳，新鲜无病虫危害，净菜上市。营养农药残留不超标，不能含有禁用的高毒农药，其他农药残留不超过允许量；硝酸盐含量不超标，食用蔬菜中硝酸盐含量不超过标准允许量，一般在432PPm以下；三是“三废”等有害物质不超标，无公害蔬菜的“三废”和病原微生物等有害物质含量不超过规定允许量</w:t>
      </w:r>
      <w:r>
        <w:rPr>
          <w:rFonts w:hint="eastAsia" w:ascii="仿宋" w:hAnsi="仿宋" w:eastAsia="仿宋" w:cs="仿宋"/>
          <w:color w:val="333333"/>
          <w:sz w:val="28"/>
          <w:szCs w:val="28"/>
          <w:shd w:val="clear" w:color="auto" w:fill="FFFFFF"/>
          <w:lang w:eastAsia="zh-CN"/>
        </w:rPr>
        <w:t>。</w:t>
      </w:r>
    </w:p>
    <w:p>
      <w:pPr>
        <w:keepNext w:val="0"/>
        <w:keepLines w:val="0"/>
        <w:pageBreakBefore w:val="0"/>
        <w:widowControl/>
        <w:kinsoku/>
        <w:wordWrap/>
        <w:overflowPunct/>
        <w:topLinePunct w:val="0"/>
        <w:autoSpaceDE/>
        <w:autoSpaceDN/>
        <w:bidi w:val="0"/>
        <w:adjustRightInd/>
        <w:snapToGrid/>
        <w:spacing w:line="360" w:lineRule="exact"/>
        <w:ind w:left="147" w:leftChars="67"/>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keepNext w:val="0"/>
        <w:keepLines w:val="0"/>
        <w:pageBreakBefore w:val="0"/>
        <w:widowControl/>
        <w:kinsoku/>
        <w:wordWrap/>
        <w:overflowPunct/>
        <w:topLinePunct w:val="0"/>
        <w:autoSpaceDE/>
        <w:autoSpaceDN/>
        <w:bidi w:val="0"/>
        <w:adjustRightInd/>
        <w:snapToGrid/>
        <w:spacing w:line="360" w:lineRule="exact"/>
        <w:ind w:left="147" w:leftChars="67"/>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5"/>
        <w:tblpPr w:leftFromText="180" w:rightFromText="180" w:vertAnchor="text" w:horzAnchor="page" w:tblpX="1245" w:tblpY="12"/>
        <w:tblOverlap w:val="never"/>
        <w:tblW w:w="97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11"/>
        <w:gridCol w:w="2866"/>
        <w:gridCol w:w="1384"/>
        <w:gridCol w:w="180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序号</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种类</w:t>
            </w:r>
          </w:p>
        </w:tc>
        <w:tc>
          <w:tcPr>
            <w:tcW w:w="2866"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等级（同品种按多个级报价，如西红柿一级，西红柿二级，西红柿特级）</w:t>
            </w:r>
          </w:p>
        </w:tc>
        <w:tc>
          <w:tcPr>
            <w:tcW w:w="1384" w:type="dxa"/>
            <w:noWrap w:val="0"/>
            <w:vAlign w:val="top"/>
          </w:tcPr>
          <w:p>
            <w:pPr>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每公斤报价（公斤/元）</w:t>
            </w:r>
          </w:p>
        </w:tc>
        <w:tc>
          <w:tcPr>
            <w:tcW w:w="18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___日价格</w:t>
            </w:r>
          </w:p>
        </w:tc>
        <w:tc>
          <w:tcPr>
            <w:tcW w:w="1800"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土豆</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娃娃菜</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生菜</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香菇</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西兰花</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黄瓜</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西红柿</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青椒</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9</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大葱</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洋葱</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11</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红萝卜</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12</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豆腐皮</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13</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豆干</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14</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腐竹</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15</w:t>
            </w:r>
          </w:p>
        </w:tc>
        <w:tc>
          <w:tcPr>
            <w:tcW w:w="1111"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海带</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16</w:t>
            </w:r>
          </w:p>
        </w:tc>
        <w:tc>
          <w:tcPr>
            <w:tcW w:w="1111" w:type="dxa"/>
            <w:noWrap w:val="0"/>
            <w:vAlign w:val="bottom"/>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素牛排</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17" w:type="dxa"/>
            <w:noWrap w:val="0"/>
            <w:vAlign w:val="top"/>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17</w:t>
            </w:r>
          </w:p>
        </w:tc>
        <w:tc>
          <w:tcPr>
            <w:tcW w:w="1111" w:type="dxa"/>
            <w:noWrap w:val="0"/>
            <w:vAlign w:val="bottom"/>
          </w:tcPr>
          <w:p>
            <w:pPr>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素鸡翅</w:t>
            </w:r>
          </w:p>
        </w:tc>
        <w:tc>
          <w:tcPr>
            <w:tcW w:w="2866" w:type="dxa"/>
            <w:noWrap w:val="0"/>
            <w:vAlign w:val="top"/>
          </w:tcPr>
          <w:p>
            <w:pPr>
              <w:jc w:val="center"/>
              <w:rPr>
                <w:rFonts w:hint="eastAsia" w:ascii="仿宋" w:hAnsi="仿宋" w:eastAsia="仿宋" w:cs="仿宋"/>
                <w:sz w:val="24"/>
                <w:szCs w:val="24"/>
                <w:lang w:val="en-US" w:eastAsia="zh-CN"/>
              </w:rPr>
            </w:pPr>
          </w:p>
        </w:tc>
        <w:tc>
          <w:tcPr>
            <w:tcW w:w="1384"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c>
          <w:tcPr>
            <w:tcW w:w="1800" w:type="dxa"/>
            <w:noWrap w:val="0"/>
            <w:vAlign w:val="top"/>
          </w:tcPr>
          <w:p>
            <w:pPr>
              <w:jc w:val="center"/>
              <w:rPr>
                <w:rFonts w:hint="eastAsia" w:ascii="仿宋" w:hAnsi="仿宋" w:eastAsia="仿宋" w:cs="仿宋"/>
                <w:sz w:val="24"/>
                <w:szCs w:val="24"/>
                <w:lang w:val="en-US" w:eastAsia="zh-CN"/>
              </w:rPr>
            </w:pPr>
          </w:p>
        </w:tc>
      </w:tr>
    </w:tbl>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numPr>
          <w:ilvl w:val="0"/>
          <w:numId w:val="0"/>
        </w:numPr>
        <w:spacing w:after="160" w:line="252" w:lineRule="auto"/>
        <w:ind w:firstLine="5600" w:firstLineChars="2000"/>
        <w:jc w:val="both"/>
        <w:outlineLvl w:val="1"/>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p>
    <w:p>
      <w:pPr>
        <w:numPr>
          <w:ilvl w:val="0"/>
          <w:numId w:val="4"/>
        </w:numPr>
        <w:spacing w:after="160" w:line="252" w:lineRule="auto"/>
        <w:ind w:left="0" w:leftChars="0" w:firstLine="0" w:firstLineChars="0"/>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鸡蛋类</w:t>
      </w:r>
    </w:p>
    <w:p>
      <w:pPr>
        <w:numPr>
          <w:ilvl w:val="0"/>
          <w:numId w:val="0"/>
        </w:numPr>
        <w:spacing w:after="160" w:line="252" w:lineRule="auto"/>
        <w:ind w:leftChars="0"/>
        <w:jc w:val="both"/>
        <w:outlineLvl w:val="1"/>
        <w:rPr>
          <w:rFonts w:hint="eastAsia" w:ascii="仿宋" w:hAnsi="仿宋" w:eastAsia="仿宋" w:cs="仿宋"/>
          <w:color w:val="333333"/>
          <w:sz w:val="28"/>
          <w:szCs w:val="28"/>
          <w:shd w:val="clear" w:color="auto" w:fill="FFFFFF"/>
          <w:lang w:val="en-US" w:eastAsia="zh-CN"/>
        </w:rPr>
      </w:pPr>
      <w:r>
        <w:rPr>
          <w:rFonts w:hint="eastAsia" w:ascii="仿宋" w:hAnsi="仿宋" w:eastAsia="仿宋" w:cs="仿宋"/>
          <w:color w:val="333333"/>
          <w:sz w:val="28"/>
          <w:szCs w:val="28"/>
          <w:shd w:val="clear" w:color="auto" w:fill="FFFFFF"/>
          <w:lang w:val="en-US" w:eastAsia="zh-CN"/>
        </w:rPr>
        <w:t>质量要求：    1、感官指标：</w:t>
      </w:r>
    </w:p>
    <w:tbl>
      <w:tblPr>
        <w:tblStyle w:val="25"/>
        <w:tblW w:w="0" w:type="auto"/>
        <w:jc w:val="center"/>
        <w:tblLayout w:type="fixed"/>
        <w:tblCellMar>
          <w:top w:w="0" w:type="dxa"/>
          <w:left w:w="108" w:type="dxa"/>
          <w:bottom w:w="0" w:type="dxa"/>
          <w:right w:w="108" w:type="dxa"/>
        </w:tblCellMar>
      </w:tblPr>
      <w:tblGrid>
        <w:gridCol w:w="1950"/>
        <w:gridCol w:w="6608"/>
      </w:tblGrid>
      <w:tr>
        <w:tblPrEx>
          <w:tblCellMar>
            <w:top w:w="0" w:type="dxa"/>
            <w:left w:w="108" w:type="dxa"/>
            <w:bottom w:w="0" w:type="dxa"/>
            <w:right w:w="108" w:type="dxa"/>
          </w:tblCellMar>
        </w:tblPrEx>
        <w:trPr>
          <w:trHeight w:val="285" w:hRule="atLeast"/>
          <w:jc w:val="center"/>
        </w:trPr>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项目</w:t>
            </w:r>
          </w:p>
        </w:tc>
        <w:tc>
          <w:tcPr>
            <w:tcW w:w="6608"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指标</w:t>
            </w:r>
          </w:p>
        </w:tc>
      </w:tr>
      <w:tr>
        <w:tblPrEx>
          <w:tblCellMar>
            <w:top w:w="0" w:type="dxa"/>
            <w:left w:w="108" w:type="dxa"/>
            <w:bottom w:w="0" w:type="dxa"/>
            <w:right w:w="108" w:type="dxa"/>
          </w:tblCellMar>
        </w:tblPrEx>
        <w:trPr>
          <w:trHeight w:val="285" w:hRule="atLeast"/>
          <w:jc w:val="center"/>
        </w:trPr>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色泽</w:t>
            </w:r>
          </w:p>
        </w:tc>
        <w:tc>
          <w:tcPr>
            <w:tcW w:w="6608"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具有禽蛋固有的色泽</w:t>
            </w:r>
          </w:p>
        </w:tc>
      </w:tr>
      <w:tr>
        <w:tblPrEx>
          <w:tblCellMar>
            <w:top w:w="0" w:type="dxa"/>
            <w:left w:w="108" w:type="dxa"/>
            <w:bottom w:w="0" w:type="dxa"/>
            <w:right w:w="108" w:type="dxa"/>
          </w:tblCellMar>
        </w:tblPrEx>
        <w:trPr>
          <w:trHeight w:val="570" w:hRule="atLeast"/>
          <w:jc w:val="center"/>
        </w:trPr>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组织形态</w:t>
            </w:r>
          </w:p>
        </w:tc>
        <w:tc>
          <w:tcPr>
            <w:tcW w:w="6608" w:type="dxa"/>
            <w:tcBorders>
              <w:top w:val="single" w:color="000000" w:sz="4" w:space="0"/>
              <w:left w:val="nil"/>
              <w:bottom w:val="single" w:color="000000" w:sz="4" w:space="0"/>
              <w:right w:val="single" w:color="000000" w:sz="4" w:space="0"/>
            </w:tcBorders>
            <w:noWrap w:val="0"/>
            <w:vAlign w:val="top"/>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蛋壳清洁、无破裂、打开后蛋壳凸起、完整、有韧性，蛋白澄清透明，稀稠分明</w:t>
            </w:r>
          </w:p>
        </w:tc>
      </w:tr>
      <w:tr>
        <w:tblPrEx>
          <w:tblCellMar>
            <w:top w:w="0" w:type="dxa"/>
            <w:left w:w="108" w:type="dxa"/>
            <w:bottom w:w="0" w:type="dxa"/>
            <w:right w:w="108" w:type="dxa"/>
          </w:tblCellMar>
        </w:tblPrEx>
        <w:trPr>
          <w:trHeight w:val="285" w:hRule="atLeast"/>
          <w:jc w:val="center"/>
        </w:trPr>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气味</w:t>
            </w:r>
          </w:p>
        </w:tc>
        <w:tc>
          <w:tcPr>
            <w:tcW w:w="6608"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具有产品固有的气味，无异味</w:t>
            </w:r>
          </w:p>
        </w:tc>
      </w:tr>
      <w:tr>
        <w:tblPrEx>
          <w:tblCellMar>
            <w:top w:w="0" w:type="dxa"/>
            <w:left w:w="108" w:type="dxa"/>
            <w:bottom w:w="0" w:type="dxa"/>
            <w:right w:w="108" w:type="dxa"/>
          </w:tblCellMar>
        </w:tblPrEx>
        <w:trPr>
          <w:trHeight w:val="285" w:hRule="atLeast"/>
          <w:jc w:val="center"/>
        </w:trPr>
        <w:tc>
          <w:tcPr>
            <w:tcW w:w="19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杂质</w:t>
            </w:r>
          </w:p>
        </w:tc>
        <w:tc>
          <w:tcPr>
            <w:tcW w:w="6608"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无杂质，内容不得有血块及其他鸡组织异物</w:t>
            </w:r>
          </w:p>
        </w:tc>
      </w:tr>
    </w:tbl>
    <w:p>
      <w:pPr>
        <w:numPr>
          <w:ilvl w:val="0"/>
          <w:numId w:val="0"/>
        </w:numPr>
        <w:spacing w:after="160" w:line="252" w:lineRule="auto"/>
        <w:ind w:leftChars="0"/>
        <w:jc w:val="both"/>
        <w:outlineLvl w:val="1"/>
        <w:rPr>
          <w:rFonts w:hint="eastAsia" w:ascii="仿宋" w:hAnsi="仿宋" w:eastAsia="仿宋" w:cs="仿宋"/>
          <w:b w:val="0"/>
          <w:bCs w:val="0"/>
          <w:color w:val="000000" w:themeColor="text1"/>
          <w:sz w:val="24"/>
          <w:szCs w:val="24"/>
          <w:lang w:val="en-US" w:eastAsia="zh-CN"/>
          <w14:textFill>
            <w14:solidFill>
              <w14:schemeClr w14:val="tx1"/>
            </w14:solidFill>
          </w14:textFill>
        </w:rPr>
      </w:pPr>
      <w:r>
        <w:rPr>
          <w:rFonts w:hint="eastAsia" w:ascii="仿宋" w:hAnsi="仿宋" w:eastAsia="仿宋" w:cs="仿宋"/>
          <w:b w:val="0"/>
          <w:bCs w:val="0"/>
          <w:color w:val="000000" w:themeColor="text1"/>
          <w:sz w:val="24"/>
          <w:szCs w:val="24"/>
          <w:lang w:val="en-US" w:eastAsia="zh-CN"/>
          <w14:textFill>
            <w14:solidFill>
              <w14:schemeClr w14:val="tx1"/>
            </w14:solidFill>
          </w14:textFill>
        </w:rPr>
        <w:t> </w:t>
      </w:r>
      <w:r>
        <w:rPr>
          <w:rFonts w:hint="eastAsia" w:ascii="仿宋" w:hAnsi="仿宋" w:eastAsia="仿宋" w:cs="仿宋"/>
          <w:color w:val="333333"/>
          <w:sz w:val="28"/>
          <w:szCs w:val="28"/>
          <w:shd w:val="clear" w:color="auto" w:fill="FFFFFF"/>
          <w:lang w:val="en-US" w:eastAsia="zh-CN"/>
        </w:rPr>
        <w:t>2、理化指标</w:t>
      </w:r>
      <w:r>
        <w:rPr>
          <w:rFonts w:hint="eastAsia" w:ascii="仿宋" w:hAnsi="仿宋" w:eastAsia="仿宋" w:cs="仿宋"/>
          <w:b w:val="0"/>
          <w:bCs w:val="0"/>
          <w:color w:val="000000" w:themeColor="text1"/>
          <w:sz w:val="24"/>
          <w:szCs w:val="24"/>
          <w:lang w:val="en-US" w:eastAsia="zh-CN"/>
          <w14:textFill>
            <w14:solidFill>
              <w14:schemeClr w14:val="tx1"/>
            </w14:solidFill>
          </w14:textFill>
        </w:rPr>
        <w:t xml:space="preserve"> </w:t>
      </w:r>
    </w:p>
    <w:tbl>
      <w:tblPr>
        <w:tblStyle w:val="25"/>
        <w:tblW w:w="0" w:type="auto"/>
        <w:jc w:val="center"/>
        <w:tblLayout w:type="fixed"/>
        <w:tblCellMar>
          <w:top w:w="0" w:type="dxa"/>
          <w:left w:w="108" w:type="dxa"/>
          <w:bottom w:w="0" w:type="dxa"/>
          <w:right w:w="108" w:type="dxa"/>
        </w:tblCellMar>
      </w:tblPr>
      <w:tblGrid>
        <w:gridCol w:w="4668"/>
        <w:gridCol w:w="3825"/>
      </w:tblGrid>
      <w:tr>
        <w:tblPrEx>
          <w:tblCellMar>
            <w:top w:w="0" w:type="dxa"/>
            <w:left w:w="108" w:type="dxa"/>
            <w:bottom w:w="0" w:type="dxa"/>
            <w:right w:w="108" w:type="dxa"/>
          </w:tblCellMar>
        </w:tblPrEx>
        <w:trPr>
          <w:trHeight w:val="285" w:hRule="atLeast"/>
          <w:jc w:val="center"/>
        </w:trPr>
        <w:tc>
          <w:tcPr>
            <w:tcW w:w="46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项目</w:t>
            </w:r>
          </w:p>
        </w:tc>
        <w:tc>
          <w:tcPr>
            <w:tcW w:w="3825"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指标</w:t>
            </w:r>
          </w:p>
        </w:tc>
      </w:tr>
      <w:tr>
        <w:tblPrEx>
          <w:tblCellMar>
            <w:top w:w="0" w:type="dxa"/>
            <w:left w:w="108" w:type="dxa"/>
            <w:bottom w:w="0" w:type="dxa"/>
            <w:right w:w="108" w:type="dxa"/>
          </w:tblCellMar>
        </w:tblPrEx>
        <w:trPr>
          <w:trHeight w:val="285" w:hRule="atLeast"/>
          <w:jc w:val="center"/>
        </w:trPr>
        <w:tc>
          <w:tcPr>
            <w:tcW w:w="46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无机砷（mg/kg）≤</w:t>
            </w:r>
          </w:p>
        </w:tc>
        <w:tc>
          <w:tcPr>
            <w:tcW w:w="3825"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0.05</w:t>
            </w:r>
          </w:p>
        </w:tc>
      </w:tr>
      <w:tr>
        <w:tblPrEx>
          <w:tblCellMar>
            <w:top w:w="0" w:type="dxa"/>
            <w:left w:w="108" w:type="dxa"/>
            <w:bottom w:w="0" w:type="dxa"/>
            <w:right w:w="108" w:type="dxa"/>
          </w:tblCellMar>
        </w:tblPrEx>
        <w:trPr>
          <w:trHeight w:val="285" w:hRule="atLeast"/>
          <w:jc w:val="center"/>
        </w:trPr>
        <w:tc>
          <w:tcPr>
            <w:tcW w:w="46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铅（Pb）（mg/kg）≤</w:t>
            </w:r>
          </w:p>
        </w:tc>
        <w:tc>
          <w:tcPr>
            <w:tcW w:w="3825"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0.2</w:t>
            </w:r>
          </w:p>
        </w:tc>
      </w:tr>
      <w:tr>
        <w:tblPrEx>
          <w:tblCellMar>
            <w:top w:w="0" w:type="dxa"/>
            <w:left w:w="108" w:type="dxa"/>
            <w:bottom w:w="0" w:type="dxa"/>
            <w:right w:w="108" w:type="dxa"/>
          </w:tblCellMar>
        </w:tblPrEx>
        <w:trPr>
          <w:trHeight w:val="285" w:hRule="atLeast"/>
          <w:jc w:val="center"/>
        </w:trPr>
        <w:tc>
          <w:tcPr>
            <w:tcW w:w="46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镉（Cd）（mg/kg）≤</w:t>
            </w:r>
          </w:p>
        </w:tc>
        <w:tc>
          <w:tcPr>
            <w:tcW w:w="3825"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0.05</w:t>
            </w:r>
          </w:p>
        </w:tc>
      </w:tr>
      <w:tr>
        <w:tblPrEx>
          <w:tblCellMar>
            <w:top w:w="0" w:type="dxa"/>
            <w:left w:w="108" w:type="dxa"/>
            <w:bottom w:w="0" w:type="dxa"/>
            <w:right w:w="108" w:type="dxa"/>
          </w:tblCellMar>
        </w:tblPrEx>
        <w:trPr>
          <w:trHeight w:val="285" w:hRule="atLeast"/>
          <w:jc w:val="center"/>
        </w:trPr>
        <w:tc>
          <w:tcPr>
            <w:tcW w:w="46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总汞（以Hg计）（mg/kg）≤</w:t>
            </w:r>
          </w:p>
        </w:tc>
        <w:tc>
          <w:tcPr>
            <w:tcW w:w="3825"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0.05</w:t>
            </w:r>
          </w:p>
        </w:tc>
      </w:tr>
      <w:tr>
        <w:tblPrEx>
          <w:tblCellMar>
            <w:top w:w="0" w:type="dxa"/>
            <w:left w:w="108" w:type="dxa"/>
            <w:bottom w:w="0" w:type="dxa"/>
            <w:right w:w="108" w:type="dxa"/>
          </w:tblCellMar>
        </w:tblPrEx>
        <w:trPr>
          <w:trHeight w:val="285" w:hRule="atLeast"/>
          <w:jc w:val="center"/>
        </w:trPr>
        <w:tc>
          <w:tcPr>
            <w:tcW w:w="466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六六六、滴滴涕</w:t>
            </w:r>
          </w:p>
        </w:tc>
        <w:tc>
          <w:tcPr>
            <w:tcW w:w="3825" w:type="dxa"/>
            <w:tcBorders>
              <w:top w:val="single" w:color="000000" w:sz="4" w:space="0"/>
              <w:left w:val="nil"/>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按GB2763规定执行</w:t>
            </w:r>
          </w:p>
        </w:tc>
      </w:tr>
    </w:tbl>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5"/>
        <w:tblpPr w:leftFromText="180" w:rightFromText="180" w:vertAnchor="text" w:horzAnchor="page" w:tblpX="1263" w:tblpY="429"/>
        <w:tblOverlap w:val="never"/>
        <w:tblW w:w="97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11"/>
        <w:gridCol w:w="2972"/>
        <w:gridCol w:w="2820"/>
        <w:gridCol w:w="2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817"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序号</w:t>
            </w:r>
          </w:p>
        </w:tc>
        <w:tc>
          <w:tcPr>
            <w:tcW w:w="1111"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种类</w:t>
            </w:r>
          </w:p>
        </w:tc>
        <w:tc>
          <w:tcPr>
            <w:tcW w:w="2972"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每公斤报价       </w:t>
            </w:r>
          </w:p>
        </w:tc>
        <w:tc>
          <w:tcPr>
            <w:tcW w:w="2820"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每筐报价（净重30斤）</w:t>
            </w:r>
          </w:p>
        </w:tc>
        <w:tc>
          <w:tcPr>
            <w:tcW w:w="2058"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17"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1111"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鲜鸡蛋</w:t>
            </w:r>
          </w:p>
        </w:tc>
        <w:tc>
          <w:tcPr>
            <w:tcW w:w="2972"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p>
        </w:tc>
        <w:tc>
          <w:tcPr>
            <w:tcW w:w="2820"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p>
        </w:tc>
        <w:tc>
          <w:tcPr>
            <w:tcW w:w="2058" w:type="dxa"/>
            <w:noWrap w:val="0"/>
            <w:vAlign w:val="top"/>
          </w:tcPr>
          <w:p>
            <w:pPr>
              <w:keepNext w:val="0"/>
              <w:keepLines w:val="0"/>
              <w:pageBreakBefore w:val="0"/>
              <w:widowControl/>
              <w:kinsoku/>
              <w:wordWrap/>
              <w:overflowPunct/>
              <w:topLinePunct w:val="0"/>
              <w:autoSpaceDE/>
              <w:autoSpaceDN/>
              <w:bidi w:val="0"/>
              <w:adjustRightInd/>
              <w:snapToGrid/>
              <w:spacing w:after="40"/>
              <w:jc w:val="center"/>
              <w:textAlignment w:val="auto"/>
              <w:rPr>
                <w:rFonts w:hint="eastAsia" w:ascii="仿宋" w:hAnsi="仿宋" w:eastAsia="仿宋" w:cs="仿宋"/>
                <w:sz w:val="24"/>
                <w:szCs w:val="24"/>
                <w:lang w:val="en-US" w:eastAsia="zh-CN"/>
              </w:rPr>
            </w:pPr>
          </w:p>
        </w:tc>
      </w:tr>
    </w:tbl>
    <w:p>
      <w:pPr>
        <w:spacing w:line="360" w:lineRule="auto"/>
        <w:ind w:left="3419" w:leftChars="1554" w:right="960" w:firstLine="0" w:firstLineChars="0"/>
        <w:jc w:val="both"/>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60" w:lineRule="auto"/>
        <w:ind w:left="3419" w:leftChars="1554" w:right="960" w:firstLine="2520" w:firstLineChars="900"/>
        <w:jc w:val="both"/>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p>
    <w:p>
      <w:pPr>
        <w:spacing w:line="360" w:lineRule="auto"/>
        <w:ind w:left="3419" w:leftChars="1554" w:right="960" w:firstLine="2520" w:firstLineChars="900"/>
        <w:jc w:val="both"/>
        <w:rPr>
          <w:rFonts w:hint="eastAsia" w:ascii="仿宋" w:hAnsi="仿宋" w:eastAsia="仿宋" w:cs="仿宋"/>
          <w:color w:val="000000" w:themeColor="text1"/>
          <w:sz w:val="28"/>
          <w:szCs w:val="28"/>
          <w:lang w:val="zh-CN"/>
          <w14:textFill>
            <w14:solidFill>
              <w14:schemeClr w14:val="tx1"/>
            </w14:solidFill>
          </w14:textFill>
        </w:rPr>
      </w:pPr>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3、参与人的资格证明文件</w:t>
      </w:r>
    </w:p>
    <w:p>
      <w:pPr>
        <w:pStyle w:val="58"/>
        <w:rPr>
          <w:rFonts w:hint="eastAsia" w:ascii="仿宋" w:hAnsi="仿宋" w:eastAsia="仿宋" w:cs="仿宋"/>
          <w:color w:val="000000" w:themeColor="text1"/>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bookmarkStart w:id="182" w:name="_Toc254790910"/>
      <w:bookmarkStart w:id="183" w:name="_Toc255975017"/>
      <w:bookmarkStart w:id="184" w:name="_Toc258401266"/>
      <w:bookmarkStart w:id="185" w:name="_Toc259520875"/>
      <w:bookmarkStart w:id="186" w:name="_Toc259692657"/>
      <w:bookmarkStart w:id="187" w:name="_Toc259692750"/>
      <w:bookmarkStart w:id="188" w:name="_Toc266868680"/>
      <w:bookmarkStart w:id="189" w:name="_Toc266870442"/>
      <w:bookmarkStart w:id="190" w:name="_Toc266870917"/>
      <w:bookmarkStart w:id="191" w:name="_Toc267060077"/>
      <w:bookmarkStart w:id="192" w:name="_Toc267060217"/>
      <w:bookmarkStart w:id="193" w:name="_Toc267060462"/>
      <w:bookmarkStart w:id="194" w:name="_Toc213756058"/>
      <w:bookmarkStart w:id="195" w:name="_Toc217891409"/>
      <w:bookmarkStart w:id="196" w:name="_Toc219800250"/>
      <w:bookmarkStart w:id="197" w:name="_Toc223146615"/>
      <w:bookmarkStart w:id="198" w:name="_Toc225669329"/>
      <w:bookmarkStart w:id="199" w:name="_Toc227058537"/>
      <w:bookmarkStart w:id="200" w:name="_Toc230071154"/>
      <w:bookmarkStart w:id="201" w:name="_Toc232302123"/>
      <w:bookmarkStart w:id="202" w:name="_Toc235437999"/>
      <w:bookmarkStart w:id="203" w:name="_Toc235438282"/>
      <w:bookmarkStart w:id="204" w:name="_Toc235438353"/>
      <w:bookmarkStart w:id="205" w:name="_Toc236021458"/>
      <w:bookmarkStart w:id="206" w:name="_Toc249325721"/>
      <w:bookmarkStart w:id="207" w:name="_Toc251586242"/>
      <w:bookmarkStart w:id="208" w:name="_Toc251613840"/>
      <w:bookmarkStart w:id="209" w:name="_Toc253066625"/>
      <w:r>
        <w:rPr>
          <w:rFonts w:hint="eastAsia" w:ascii="仿宋" w:hAnsi="仿宋" w:eastAsia="仿宋" w:cs="仿宋"/>
          <w:b/>
          <w:color w:val="000000" w:themeColor="text1"/>
          <w:sz w:val="28"/>
          <w:szCs w:val="28"/>
          <w14:textFill>
            <w14:solidFill>
              <w14:schemeClr w14:val="tx1"/>
            </w14:solidFill>
          </w14:textFill>
        </w:rPr>
        <w:t>3-1关于资格的声明函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cs="仿宋"/>
          <w:b/>
          <w:color w:val="000000" w:themeColor="text1"/>
          <w:sz w:val="28"/>
          <w:szCs w:val="28"/>
          <w14:textFill>
            <w14:solidFill>
              <w14:schemeClr w14:val="tx1"/>
            </w14:solidFill>
          </w14:textFill>
        </w:rPr>
        <w:cr/>
      </w:r>
    </w:p>
    <w:p>
      <w:pPr>
        <w:spacing w:after="0" w:line="500" w:lineRule="exact"/>
        <w:rPr>
          <w:rFonts w:hint="eastAsia" w:ascii="仿宋" w:hAnsi="仿宋" w:eastAsia="仿宋" w:cs="仿宋"/>
          <w:color w:val="000000" w:themeColor="text1"/>
          <w:sz w:val="28"/>
          <w:szCs w:val="28"/>
          <w14:textFill>
            <w14:solidFill>
              <w14:schemeClr w14:val="tx1"/>
            </w14:solidFill>
          </w14:textFill>
        </w:rPr>
      </w:pPr>
      <w:bookmarkStart w:id="210" w:name="_Hlk511663739"/>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bookmarkEnd w:id="210"/>
    </w:p>
    <w:p>
      <w:pPr>
        <w:spacing w:after="0" w:line="500" w:lineRule="exact"/>
        <w:ind w:firstLine="560" w:firstLineChars="200"/>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关于贵方</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月</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日</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（项目编号）公开询价邀请，本签字人愿意参加本次报价，提供公开询价文件中规定的</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货物，并证明提交的下列文件和说明是准确的和真实的。</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1．本签字人确认资格文件中的说明以及公开询价文件中所有提交的文件和材料是真实的、准确的。</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2．我方的资格声明正本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份，副本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份，随报价响应文件一同递交。</w:t>
      </w:r>
    </w:p>
    <w:p>
      <w:pPr>
        <w:spacing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地          址：</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邮          编：</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电  话或传  真：</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参与人授权代表：</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bookmarkStart w:id="211" w:name="_Toc213756059"/>
      <w:bookmarkStart w:id="212" w:name="_Toc217891410"/>
      <w:bookmarkStart w:id="213" w:name="_Toc219800251"/>
      <w:bookmarkStart w:id="214" w:name="_Toc223146616"/>
      <w:bookmarkStart w:id="215" w:name="_Toc225669330"/>
      <w:bookmarkStart w:id="216" w:name="_Toc232302124"/>
      <w:bookmarkStart w:id="217" w:name="_Toc235438000"/>
      <w:bookmarkStart w:id="218" w:name="_Toc235438283"/>
      <w:bookmarkStart w:id="219" w:name="_Toc235438354"/>
      <w:bookmarkStart w:id="220" w:name="_Toc236021459"/>
      <w:bookmarkStart w:id="221" w:name="_Toc249325722"/>
      <w:bookmarkStart w:id="222" w:name="_Toc251586243"/>
      <w:bookmarkStart w:id="223" w:name="_Toc251613841"/>
      <w:bookmarkStart w:id="224" w:name="_Toc253066626"/>
      <w:bookmarkStart w:id="225" w:name="_Toc254790911"/>
      <w:bookmarkStart w:id="226" w:name="_Toc255975018"/>
      <w:bookmarkStart w:id="227" w:name="_Toc258401267"/>
      <w:bookmarkStart w:id="228" w:name="_Toc259520876"/>
      <w:bookmarkStart w:id="229" w:name="_Toc259692658"/>
      <w:bookmarkStart w:id="230" w:name="_Toc259692751"/>
      <w:bookmarkStart w:id="231" w:name="_Toc266868681"/>
      <w:bookmarkStart w:id="232" w:name="_Toc266870443"/>
      <w:bookmarkStart w:id="233" w:name="_Toc266870918"/>
      <w:bookmarkStart w:id="234" w:name="_Toc227058538"/>
      <w:bookmarkStart w:id="235" w:name="_Toc230071155"/>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br w:type="page"/>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3-</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hint="eastAsia" w:ascii="仿宋" w:hAnsi="仿宋" w:eastAsia="仿宋" w:cs="仿宋"/>
          <w:b/>
          <w:bCs/>
          <w:color w:val="000000" w:themeColor="text1"/>
          <w:sz w:val="28"/>
          <w:szCs w:val="28"/>
          <w14:textFill>
            <w14:solidFill>
              <w14:schemeClr w14:val="tx1"/>
            </w14:solidFill>
          </w14:textFill>
        </w:rPr>
        <w:t>2 企业</w:t>
      </w:r>
      <w:r>
        <w:rPr>
          <w:rFonts w:hint="eastAsia" w:ascii="仿宋" w:hAnsi="仿宋" w:eastAsia="仿宋" w:cs="仿宋"/>
          <w:b/>
          <w:color w:val="000000" w:themeColor="text1"/>
          <w:sz w:val="28"/>
          <w:szCs w:val="28"/>
          <w14:textFill>
            <w14:solidFill>
              <w14:schemeClr w14:val="tx1"/>
            </w14:solidFill>
          </w14:textFill>
        </w:rPr>
        <w:t>法人营业执照（复印件并加盖公章）</w:t>
      </w:r>
    </w:p>
    <w:p>
      <w:pPr>
        <w:jc w:val="center"/>
        <w:outlineLvl w:val="1"/>
        <w:rPr>
          <w:rFonts w:hint="eastAsia" w:ascii="仿宋" w:hAnsi="仿宋" w:eastAsia="仿宋" w:cs="仿宋"/>
          <w:b/>
          <w:color w:val="000000" w:themeColor="text1"/>
          <w:sz w:val="28"/>
          <w:szCs w:val="28"/>
          <w14:textFill>
            <w14:solidFill>
              <w14:schemeClr w14:val="tx1"/>
            </w14:solidFill>
          </w14:textFill>
        </w:rPr>
      </w:pPr>
    </w:p>
    <w:p>
      <w:p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现附上由</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（签发机关名称）签发的我方法人营业执照复印件，该执照业经年检，真实有效。</w:t>
      </w: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 与 人（全称并加盖公章）：</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r>
        <w:rPr>
          <w:rFonts w:hint="eastAsia" w:ascii="仿宋" w:hAnsi="仿宋" w:eastAsia="仿宋" w:cs="仿宋"/>
          <w:color w:val="000000" w:themeColor="text1"/>
          <w:sz w:val="28"/>
          <w:szCs w:val="28"/>
          <w:lang w:val="zh-CN"/>
          <w14:textFill>
            <w14:solidFill>
              <w14:schemeClr w14:val="tx1"/>
            </w14:solidFill>
          </w14:textFill>
        </w:rPr>
        <w:t>参与人授权代表</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日      期：</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p>
    <w:p>
      <w:pPr>
        <w:spacing w:line="380" w:lineRule="exact"/>
        <w:jc w:val="both"/>
        <w:outlineLvl w:val="2"/>
        <w:rPr>
          <w:rFonts w:hint="eastAsia" w:ascii="仿宋" w:hAnsi="仿宋" w:eastAsia="仿宋" w:cs="仿宋"/>
          <w:b/>
          <w:color w:val="000000" w:themeColor="text1"/>
          <w:sz w:val="28"/>
          <w:szCs w:val="28"/>
          <w14:textFill>
            <w14:solidFill>
              <w14:schemeClr w14:val="tx1"/>
            </w14:solidFill>
          </w14:textFill>
        </w:rPr>
      </w:pPr>
    </w:p>
    <w:p>
      <w:pPr>
        <w:jc w:val="center"/>
        <w:outlineLvl w:val="1"/>
        <w:rPr>
          <w:rFonts w:hint="eastAsia" w:ascii="仿宋" w:hAnsi="仿宋" w:eastAsia="仿宋" w:cs="仿宋"/>
          <w:b/>
          <w:color w:val="000000" w:themeColor="text1"/>
          <w:sz w:val="28"/>
          <w:szCs w:val="28"/>
          <w14:textFill>
            <w14:solidFill>
              <w14:schemeClr w14:val="tx1"/>
            </w14:solidFill>
          </w14:textFill>
        </w:rPr>
      </w:pPr>
      <w:bookmarkStart w:id="236" w:name="_Toc254790914"/>
      <w:bookmarkStart w:id="237" w:name="_Toc255975021"/>
      <w:bookmarkStart w:id="238" w:name="_Toc258401270"/>
      <w:bookmarkStart w:id="239" w:name="_Toc259520879"/>
      <w:bookmarkStart w:id="240" w:name="_Toc259692661"/>
      <w:bookmarkStart w:id="241" w:name="_Toc259692754"/>
      <w:bookmarkStart w:id="242" w:name="_Toc266868684"/>
      <w:bookmarkStart w:id="243" w:name="_Toc266870446"/>
      <w:bookmarkStart w:id="244" w:name="_Toc266870921"/>
      <w:bookmarkStart w:id="245" w:name="_Toc267060080"/>
      <w:bookmarkStart w:id="246" w:name="_Toc267060220"/>
      <w:bookmarkStart w:id="247" w:name="_Toc267060465"/>
      <w:bookmarkStart w:id="248" w:name="_Toc191803634"/>
      <w:bookmarkStart w:id="249" w:name="_Toc192663694"/>
      <w:bookmarkStart w:id="250" w:name="_Toc192663843"/>
      <w:bookmarkStart w:id="251" w:name="_Toc192664161"/>
      <w:bookmarkStart w:id="252" w:name="_Toc192996346"/>
      <w:bookmarkStart w:id="253" w:name="_Toc192996454"/>
      <w:bookmarkStart w:id="254" w:name="_Toc193160456"/>
      <w:bookmarkStart w:id="255" w:name="_Toc193165742"/>
      <w:bookmarkStart w:id="256" w:name="_Toc203355741"/>
      <w:bookmarkStart w:id="257" w:name="_Toc211917124"/>
      <w:bookmarkStart w:id="258" w:name="_Toc258401272"/>
      <w:bookmarkStart w:id="259" w:name="_Toc254790916"/>
      <w:bookmarkStart w:id="260" w:name="_Toc255975023"/>
      <w:bookmarkStart w:id="261" w:name="_Toc259520881"/>
      <w:bookmarkStart w:id="262" w:name="_Toc259692663"/>
      <w:bookmarkStart w:id="263" w:name="_Toc259692756"/>
      <w:bookmarkStart w:id="264" w:name="_Toc266868686"/>
      <w:bookmarkStart w:id="265" w:name="_Toc266870447"/>
      <w:bookmarkStart w:id="266" w:name="_Toc266870922"/>
      <w:bookmarkStart w:id="267" w:name="_Toc267060081"/>
      <w:bookmarkStart w:id="268" w:name="_Toc267060221"/>
      <w:bookmarkStart w:id="269" w:name="_Toc267060466"/>
      <w:bookmarkStart w:id="270" w:name="_Toc232302127"/>
      <w:bookmarkStart w:id="271" w:name="_Toc235438003"/>
      <w:bookmarkStart w:id="272" w:name="_Toc235438286"/>
      <w:bookmarkStart w:id="273" w:name="_Toc235438357"/>
      <w:bookmarkStart w:id="274" w:name="_Toc236021462"/>
      <w:bookmarkStart w:id="275" w:name="_Toc249325725"/>
      <w:bookmarkStart w:id="276" w:name="_Toc251586246"/>
      <w:bookmarkStart w:id="277" w:name="_Toc251613844"/>
      <w:bookmarkStart w:id="278" w:name="_Toc253066629"/>
      <w:bookmarkStart w:id="279" w:name="_Toc160880168"/>
      <w:bookmarkStart w:id="280" w:name="_Toc160880537"/>
      <w:bookmarkStart w:id="281" w:name="_Toc169332846"/>
      <w:bookmarkStart w:id="282" w:name="_Toc169332957"/>
      <w:bookmarkStart w:id="283" w:name="_Toc170798801"/>
      <w:bookmarkStart w:id="284" w:name="_Toc177985477"/>
      <w:bookmarkStart w:id="285" w:name="_Toc180302921"/>
      <w:bookmarkStart w:id="286" w:name="_Toc181436469"/>
      <w:bookmarkStart w:id="287" w:name="_Toc181436573"/>
      <w:bookmarkStart w:id="288" w:name="_Toc182372790"/>
      <w:bookmarkStart w:id="289" w:name="_Toc182805225"/>
      <w:bookmarkStart w:id="290" w:name="_Toc191783230"/>
      <w:bookmarkStart w:id="291" w:name="_Toc191789337"/>
      <w:bookmarkStart w:id="292" w:name="_Toc191802698"/>
      <w:r>
        <w:rPr>
          <w:rFonts w:hint="eastAsia" w:ascii="仿宋" w:hAnsi="仿宋" w:eastAsia="仿宋" w:cs="仿宋"/>
          <w:b/>
          <w:color w:val="000000" w:themeColor="text1"/>
          <w:sz w:val="28"/>
          <w:szCs w:val="28"/>
          <w14:textFill>
            <w14:solidFill>
              <w14:schemeClr w14:val="tx1"/>
            </w14:solidFill>
          </w14:textFill>
        </w:rPr>
        <w:t>3-</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Start w:id="293" w:name="_Toc267060467"/>
      <w:bookmarkStart w:id="294" w:name="_Toc254790917"/>
      <w:bookmarkStart w:id="295" w:name="_Toc273178704"/>
      <w:bookmarkStart w:id="296" w:name="_Toc258401273"/>
      <w:bookmarkStart w:id="297" w:name="_Toc232302128"/>
      <w:bookmarkStart w:id="298" w:name="_Toc235438004"/>
      <w:bookmarkStart w:id="299" w:name="_Toc235438287"/>
      <w:bookmarkStart w:id="300" w:name="_Toc235438358"/>
      <w:bookmarkStart w:id="301" w:name="_Toc236021463"/>
      <w:bookmarkStart w:id="302" w:name="_Toc249325726"/>
      <w:bookmarkStart w:id="303" w:name="_Toc251586247"/>
      <w:bookmarkStart w:id="304" w:name="_Toc251613845"/>
      <w:bookmarkStart w:id="305" w:name="_Toc253066630"/>
      <w:bookmarkStart w:id="306" w:name="_Toc255975024"/>
      <w:bookmarkStart w:id="307" w:name="_Toc259520882"/>
      <w:bookmarkStart w:id="308" w:name="_Toc259692664"/>
      <w:bookmarkStart w:id="309" w:name="_Toc259692757"/>
      <w:bookmarkStart w:id="310" w:name="_Toc266868687"/>
      <w:bookmarkStart w:id="311" w:name="_Toc266868944"/>
      <w:bookmarkStart w:id="312" w:name="_Toc266870448"/>
      <w:bookmarkStart w:id="313" w:name="_Toc266870840"/>
      <w:bookmarkStart w:id="314" w:name="_Toc266870923"/>
      <w:bookmarkStart w:id="315" w:name="_Toc267059036"/>
      <w:bookmarkStart w:id="316" w:name="_Toc267059187"/>
      <w:bookmarkStart w:id="317" w:name="_Toc267059545"/>
      <w:bookmarkStart w:id="318" w:name="_Toc267059659"/>
      <w:bookmarkStart w:id="319" w:name="_Toc267059812"/>
      <w:bookmarkStart w:id="320" w:name="_Toc267059925"/>
      <w:bookmarkStart w:id="321" w:name="_Toc267060082"/>
      <w:bookmarkStart w:id="322" w:name="_Toc267060222"/>
      <w:bookmarkStart w:id="323" w:name="_Toc267060327"/>
      <w:r>
        <w:rPr>
          <w:rFonts w:hint="eastAsia" w:ascii="仿宋" w:hAnsi="仿宋" w:eastAsia="仿宋" w:cs="仿宋"/>
          <w:b/>
          <w:color w:val="000000" w:themeColor="text1"/>
          <w:sz w:val="28"/>
          <w:szCs w:val="28"/>
          <w:lang w:val="en-US" w:eastAsia="zh-CN"/>
          <w14:textFill>
            <w14:solidFill>
              <w14:schemeClr w14:val="tx1"/>
            </w14:solidFill>
          </w14:textFill>
        </w:rPr>
        <w:t>3</w:t>
      </w:r>
      <w:r>
        <w:rPr>
          <w:rFonts w:hint="eastAsia" w:ascii="仿宋" w:hAnsi="仿宋" w:eastAsia="仿宋" w:cs="仿宋"/>
          <w:b/>
          <w:bCs/>
          <w:color w:val="000000" w:themeColor="text1"/>
          <w:sz w:val="28"/>
          <w:szCs w:val="28"/>
          <w:lang w:eastAsia="zh-CN"/>
          <w14:textFill>
            <w14:solidFill>
              <w14:schemeClr w14:val="tx1"/>
            </w14:solidFill>
          </w14:textFill>
        </w:rPr>
        <w:t>相关资质证书及证明文件</w:t>
      </w:r>
      <w:r>
        <w:rPr>
          <w:rFonts w:hint="eastAsia" w:ascii="仿宋" w:hAnsi="仿宋" w:eastAsia="仿宋" w:cs="仿宋"/>
          <w:b/>
          <w:color w:val="000000" w:themeColor="text1"/>
          <w:sz w:val="28"/>
          <w:szCs w:val="28"/>
          <w14:textFill>
            <w14:solidFill>
              <w14:schemeClr w14:val="tx1"/>
            </w14:solidFill>
          </w14:textFill>
        </w:rPr>
        <w:t>（复印件并加盖公章）</w:t>
      </w:r>
    </w:p>
    <w:p>
      <w:pPr>
        <w:spacing w:after="0" w:line="480" w:lineRule="exact"/>
        <w:ind w:firstLine="570"/>
        <w:jc w:val="center"/>
        <w:rPr>
          <w:rFonts w:hint="eastAsia" w:ascii="仿宋" w:hAnsi="仿宋" w:eastAsia="仿宋" w:cs="仿宋"/>
          <w:b/>
          <w:bCs/>
          <w:color w:val="000000" w:themeColor="text1"/>
          <w:sz w:val="28"/>
          <w:szCs w:val="28"/>
          <w:lang w:eastAsia="zh-CN"/>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p>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4</w:t>
      </w:r>
      <w:r>
        <w:rPr>
          <w:rFonts w:hint="eastAsia" w:ascii="仿宋" w:hAnsi="仿宋" w:eastAsia="仿宋" w:cs="仿宋"/>
          <w:b/>
          <w:bCs/>
          <w:color w:val="000000" w:themeColor="text1"/>
          <w:sz w:val="28"/>
          <w:szCs w:val="28"/>
          <w:lang w:eastAsia="zh-CN"/>
          <w14:textFill>
            <w14:solidFill>
              <w14:schemeClr w14:val="tx1"/>
            </w14:solidFill>
          </w14:textFill>
        </w:rPr>
        <w:t>、</w:t>
      </w:r>
      <w:r>
        <w:rPr>
          <w:rFonts w:hint="eastAsia" w:ascii="仿宋" w:hAnsi="仿宋" w:eastAsia="仿宋" w:cs="仿宋"/>
          <w:b/>
          <w:bCs/>
          <w:color w:val="000000" w:themeColor="text1"/>
          <w:sz w:val="28"/>
          <w:szCs w:val="28"/>
          <w14:textFill>
            <w14:solidFill>
              <w14:schemeClr w14:val="tx1"/>
            </w14:solidFill>
          </w14:textFill>
        </w:rPr>
        <w:t>售后服务承诺书</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pPr>
        <w:spacing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p>
    <w:p>
      <w:pPr>
        <w:spacing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参与人根据公开询价文件中对售后服务的要求，结合自身实际情况进行承诺（含产品质量保障体系等）、交货周期承诺等。</w:t>
      </w:r>
    </w:p>
    <w:p>
      <w:pPr>
        <w:spacing w:line="500" w:lineRule="exact"/>
        <w:ind w:firstLine="48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承诺如下：</w:t>
      </w:r>
    </w:p>
    <w:p>
      <w:pPr>
        <w:spacing w:line="420" w:lineRule="exact"/>
        <w:ind w:firstLine="480"/>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ind w:firstLine="3640" w:firstLineChars="13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 与 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参与人授权代表：</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420" w:lineRule="exact"/>
        <w:ind w:firstLine="426"/>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日      期：</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jc w:val="center"/>
        <w:rPr>
          <w:rFonts w:hint="eastAsia" w:ascii="仿宋" w:hAnsi="仿宋" w:eastAsia="仿宋" w:cs="仿宋"/>
          <w:b/>
          <w:bCs/>
          <w:color w:val="000000" w:themeColor="text1"/>
          <w:sz w:val="28"/>
          <w:szCs w:val="28"/>
          <w:lang w:val="en-US"/>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5、同类业绩证明（发票或合同复印件均可）</w:t>
      </w: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7" name="图片 7"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r>
      <w:rPr>
        <w:rFonts w:hint="eastAsia" w:eastAsiaTheme="minorEastAsia"/>
        <w:color w:val="000000" w:themeColor="text1"/>
        <w:lang w:eastAsia="zh-CN"/>
        <w14:textFill>
          <w14:solidFill>
            <w14:schemeClr w14:val="tx1"/>
          </w14:solidFill>
        </w14:textFill>
      </w:rPr>
      <w:drawing>
        <wp:inline distT="0" distB="0" distL="114300" distR="114300">
          <wp:extent cx="291465" cy="291465"/>
          <wp:effectExtent l="0" t="0" r="13335" b="13335"/>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91465" cy="291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2371725" cy="309880"/>
          <wp:effectExtent l="0" t="0" r="5715" b="10795"/>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371725" cy="30988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87A53D"/>
    <w:multiLevelType w:val="singleLevel"/>
    <w:tmpl w:val="1087A53D"/>
    <w:lvl w:ilvl="0" w:tentative="0">
      <w:start w:val="2"/>
      <w:numFmt w:val="decimal"/>
      <w:suff w:val="nothing"/>
      <w:lvlText w:val="%1、"/>
      <w:lvlJc w:val="left"/>
    </w:lvl>
  </w:abstractNum>
  <w:abstractNum w:abstractNumId="1">
    <w:nsid w:val="54C0526A"/>
    <w:multiLevelType w:val="singleLevel"/>
    <w:tmpl w:val="54C0526A"/>
    <w:lvl w:ilvl="0" w:tentative="0">
      <w:start w:val="3"/>
      <w:numFmt w:val="chineseCounting"/>
      <w:suff w:val="nothing"/>
      <w:lvlText w:val="（%1）"/>
      <w:lvlJc w:val="left"/>
      <w:rPr>
        <w:rFonts w:hint="eastAsia"/>
      </w:rPr>
    </w:lvl>
  </w:abstractNum>
  <w:abstractNum w:abstractNumId="2">
    <w:nsid w:val="55E516B2"/>
    <w:multiLevelType w:val="singleLevel"/>
    <w:tmpl w:val="55E516B2"/>
    <w:lvl w:ilvl="0" w:tentative="0">
      <w:start w:val="2"/>
      <w:numFmt w:val="chineseCounting"/>
      <w:suff w:val="nothing"/>
      <w:lvlText w:val="%1、"/>
      <w:lvlJc w:val="left"/>
      <w:rPr>
        <w:rFonts w:hint="eastAsia"/>
      </w:r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A41CE"/>
    <w:rsid w:val="004B66B1"/>
    <w:rsid w:val="004F613B"/>
    <w:rsid w:val="00502F52"/>
    <w:rsid w:val="00582530"/>
    <w:rsid w:val="00590957"/>
    <w:rsid w:val="005A5A4D"/>
    <w:rsid w:val="005F1FC8"/>
    <w:rsid w:val="00630374"/>
    <w:rsid w:val="006F3C71"/>
    <w:rsid w:val="006F5FBA"/>
    <w:rsid w:val="0070574F"/>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15515B6"/>
    <w:rsid w:val="02195752"/>
    <w:rsid w:val="02614F6E"/>
    <w:rsid w:val="03954479"/>
    <w:rsid w:val="03C20515"/>
    <w:rsid w:val="042D2B36"/>
    <w:rsid w:val="04D33EF9"/>
    <w:rsid w:val="069C6D04"/>
    <w:rsid w:val="06F064CE"/>
    <w:rsid w:val="072712C6"/>
    <w:rsid w:val="07334410"/>
    <w:rsid w:val="07607399"/>
    <w:rsid w:val="08342A08"/>
    <w:rsid w:val="087F0625"/>
    <w:rsid w:val="08861282"/>
    <w:rsid w:val="08B22F02"/>
    <w:rsid w:val="099B62B9"/>
    <w:rsid w:val="09E654D7"/>
    <w:rsid w:val="0A455A89"/>
    <w:rsid w:val="0A5A589F"/>
    <w:rsid w:val="0AF26195"/>
    <w:rsid w:val="0BD116AD"/>
    <w:rsid w:val="0BDD2F9E"/>
    <w:rsid w:val="0BF63C8E"/>
    <w:rsid w:val="0D324E22"/>
    <w:rsid w:val="0D5F2402"/>
    <w:rsid w:val="0DCE0368"/>
    <w:rsid w:val="0E16356D"/>
    <w:rsid w:val="10161AE8"/>
    <w:rsid w:val="102855E1"/>
    <w:rsid w:val="10772075"/>
    <w:rsid w:val="12112F4D"/>
    <w:rsid w:val="12356A8F"/>
    <w:rsid w:val="142A4348"/>
    <w:rsid w:val="143A3272"/>
    <w:rsid w:val="14414820"/>
    <w:rsid w:val="14DD1422"/>
    <w:rsid w:val="14FF41FF"/>
    <w:rsid w:val="160538A6"/>
    <w:rsid w:val="16190030"/>
    <w:rsid w:val="162A15FB"/>
    <w:rsid w:val="168E1F9F"/>
    <w:rsid w:val="16B04A69"/>
    <w:rsid w:val="17627412"/>
    <w:rsid w:val="177678DA"/>
    <w:rsid w:val="17877F1F"/>
    <w:rsid w:val="18917DEE"/>
    <w:rsid w:val="1892699C"/>
    <w:rsid w:val="18C13B55"/>
    <w:rsid w:val="18D749D2"/>
    <w:rsid w:val="1A864D30"/>
    <w:rsid w:val="1BA75DF7"/>
    <w:rsid w:val="1BE459CB"/>
    <w:rsid w:val="1C671D5F"/>
    <w:rsid w:val="1CAA4A86"/>
    <w:rsid w:val="1CF44051"/>
    <w:rsid w:val="1D016185"/>
    <w:rsid w:val="1E212ABE"/>
    <w:rsid w:val="1E3554C1"/>
    <w:rsid w:val="1E673192"/>
    <w:rsid w:val="1F4A4D2F"/>
    <w:rsid w:val="1F4D2E0B"/>
    <w:rsid w:val="1F633F69"/>
    <w:rsid w:val="1F9D0833"/>
    <w:rsid w:val="20C657A4"/>
    <w:rsid w:val="216C3B72"/>
    <w:rsid w:val="218313CC"/>
    <w:rsid w:val="21CD6130"/>
    <w:rsid w:val="21EB0A0C"/>
    <w:rsid w:val="22AE3E02"/>
    <w:rsid w:val="22C34D96"/>
    <w:rsid w:val="22E8045B"/>
    <w:rsid w:val="231C0840"/>
    <w:rsid w:val="2480643E"/>
    <w:rsid w:val="24D91EFD"/>
    <w:rsid w:val="25F313E9"/>
    <w:rsid w:val="26190168"/>
    <w:rsid w:val="27753140"/>
    <w:rsid w:val="27E43141"/>
    <w:rsid w:val="28496001"/>
    <w:rsid w:val="28B24FE8"/>
    <w:rsid w:val="2A5C7ED5"/>
    <w:rsid w:val="2B406BBC"/>
    <w:rsid w:val="2C176289"/>
    <w:rsid w:val="2DB868CE"/>
    <w:rsid w:val="2E1022DB"/>
    <w:rsid w:val="2F2D460F"/>
    <w:rsid w:val="2F4E528D"/>
    <w:rsid w:val="2FC07989"/>
    <w:rsid w:val="2FF74C61"/>
    <w:rsid w:val="31F45A90"/>
    <w:rsid w:val="328C4DB9"/>
    <w:rsid w:val="33FC5026"/>
    <w:rsid w:val="34084160"/>
    <w:rsid w:val="3470208A"/>
    <w:rsid w:val="34995215"/>
    <w:rsid w:val="34A314E5"/>
    <w:rsid w:val="35CE631B"/>
    <w:rsid w:val="36592A97"/>
    <w:rsid w:val="367828BB"/>
    <w:rsid w:val="371B1FDA"/>
    <w:rsid w:val="376151E4"/>
    <w:rsid w:val="37900A44"/>
    <w:rsid w:val="38DD4516"/>
    <w:rsid w:val="3A7439D7"/>
    <w:rsid w:val="3B31548A"/>
    <w:rsid w:val="3D814851"/>
    <w:rsid w:val="3E3D4D90"/>
    <w:rsid w:val="3E8756DC"/>
    <w:rsid w:val="3EE100DB"/>
    <w:rsid w:val="3F3206EE"/>
    <w:rsid w:val="3FA81365"/>
    <w:rsid w:val="400120A2"/>
    <w:rsid w:val="406732CA"/>
    <w:rsid w:val="40FA0F45"/>
    <w:rsid w:val="41201067"/>
    <w:rsid w:val="41A17D99"/>
    <w:rsid w:val="424302FC"/>
    <w:rsid w:val="4318310A"/>
    <w:rsid w:val="43FA367F"/>
    <w:rsid w:val="44245CF6"/>
    <w:rsid w:val="44461CE1"/>
    <w:rsid w:val="451278F6"/>
    <w:rsid w:val="45581C80"/>
    <w:rsid w:val="468A7468"/>
    <w:rsid w:val="470469BB"/>
    <w:rsid w:val="479433A2"/>
    <w:rsid w:val="484E3E6D"/>
    <w:rsid w:val="48E65F43"/>
    <w:rsid w:val="4A0257D9"/>
    <w:rsid w:val="4AF6690B"/>
    <w:rsid w:val="4B4246EC"/>
    <w:rsid w:val="4B522255"/>
    <w:rsid w:val="4B9E0D3F"/>
    <w:rsid w:val="4BF57FA0"/>
    <w:rsid w:val="4CAD4BF3"/>
    <w:rsid w:val="4D2E494E"/>
    <w:rsid w:val="4DC14FA6"/>
    <w:rsid w:val="4DE666D0"/>
    <w:rsid w:val="4E2E3E38"/>
    <w:rsid w:val="4E411F99"/>
    <w:rsid w:val="4EF221E0"/>
    <w:rsid w:val="4F8276CD"/>
    <w:rsid w:val="4FCC70C4"/>
    <w:rsid w:val="509276D3"/>
    <w:rsid w:val="50A21B27"/>
    <w:rsid w:val="50F4274C"/>
    <w:rsid w:val="517472D6"/>
    <w:rsid w:val="532D1136"/>
    <w:rsid w:val="547D1ED0"/>
    <w:rsid w:val="56597383"/>
    <w:rsid w:val="56DD453C"/>
    <w:rsid w:val="57253041"/>
    <w:rsid w:val="579A62D8"/>
    <w:rsid w:val="57EC4D32"/>
    <w:rsid w:val="580176C1"/>
    <w:rsid w:val="58244549"/>
    <w:rsid w:val="583670B8"/>
    <w:rsid w:val="58F127E8"/>
    <w:rsid w:val="59EC3B2B"/>
    <w:rsid w:val="5A001F1D"/>
    <w:rsid w:val="5A2870AD"/>
    <w:rsid w:val="5A6F590A"/>
    <w:rsid w:val="5A890736"/>
    <w:rsid w:val="5A9060AF"/>
    <w:rsid w:val="5D5F7669"/>
    <w:rsid w:val="5D6E1A3E"/>
    <w:rsid w:val="5E0D5B4B"/>
    <w:rsid w:val="5E40126F"/>
    <w:rsid w:val="5F521D90"/>
    <w:rsid w:val="63E811BC"/>
    <w:rsid w:val="68E660C9"/>
    <w:rsid w:val="68F67DC3"/>
    <w:rsid w:val="69F16835"/>
    <w:rsid w:val="6A094166"/>
    <w:rsid w:val="6A1019AA"/>
    <w:rsid w:val="6A72233E"/>
    <w:rsid w:val="6BA84AD9"/>
    <w:rsid w:val="6C5C2C95"/>
    <w:rsid w:val="6C653CC8"/>
    <w:rsid w:val="6D627E2E"/>
    <w:rsid w:val="6F7252DB"/>
    <w:rsid w:val="6F8A21D4"/>
    <w:rsid w:val="70291116"/>
    <w:rsid w:val="7203211F"/>
    <w:rsid w:val="73737B01"/>
    <w:rsid w:val="75592097"/>
    <w:rsid w:val="75C604AA"/>
    <w:rsid w:val="77591702"/>
    <w:rsid w:val="79B02D87"/>
    <w:rsid w:val="79D472BC"/>
    <w:rsid w:val="7A802339"/>
    <w:rsid w:val="7A81136D"/>
    <w:rsid w:val="7B4276F1"/>
    <w:rsid w:val="7B881D8B"/>
    <w:rsid w:val="7BDD0CC4"/>
    <w:rsid w:val="7C990504"/>
    <w:rsid w:val="7CD86361"/>
    <w:rsid w:val="7E077DB7"/>
    <w:rsid w:val="7FAA7F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6"/>
    <w:semiHidden/>
    <w:unhideWhenUsed/>
    <w:qFormat/>
    <w:uiPriority w:val="9"/>
    <w:pPr>
      <w:keepNext/>
      <w:keepLines/>
      <w:spacing w:before="120" w:after="0"/>
      <w:outlineLvl w:val="6"/>
    </w:pPr>
    <w:rPr>
      <w:i/>
      <w:iCs/>
    </w:rPr>
  </w:style>
  <w:style w:type="paragraph" w:styleId="9">
    <w:name w:val="heading 8"/>
    <w:basedOn w:val="1"/>
    <w:next w:val="1"/>
    <w:link w:val="37"/>
    <w:semiHidden/>
    <w:unhideWhenUsed/>
    <w:qFormat/>
    <w:uiPriority w:val="9"/>
    <w:pPr>
      <w:keepNext/>
      <w:keepLines/>
      <w:spacing w:before="120" w:after="0"/>
      <w:outlineLvl w:val="7"/>
    </w:pPr>
    <w:rPr>
      <w:b/>
      <w:bCs/>
    </w:rPr>
  </w:style>
  <w:style w:type="paragraph" w:styleId="10">
    <w:name w:val="heading 9"/>
    <w:basedOn w:val="1"/>
    <w:next w:val="1"/>
    <w:link w:val="38"/>
    <w:semiHidden/>
    <w:unhideWhenUsed/>
    <w:qFormat/>
    <w:uiPriority w:val="9"/>
    <w:pPr>
      <w:keepNext/>
      <w:keepLines/>
      <w:spacing w:before="120" w:after="0"/>
      <w:outlineLvl w:val="8"/>
    </w:pPr>
    <w:rPr>
      <w:i/>
      <w:iCs/>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60"/>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9"/>
    <w:unhideWhenUsed/>
    <w:qFormat/>
    <w:uiPriority w:val="0"/>
    <w:rPr>
      <w:rFonts w:hAnsi="Courier New" w:cs="Courier New" w:asciiTheme="minorEastAsia"/>
    </w:rPr>
  </w:style>
  <w:style w:type="paragraph" w:styleId="16">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HTML Preformatted"/>
    <w:basedOn w:val="1"/>
    <w:semiHidden/>
    <w:unhideWhenUsed/>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3">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paragraph" w:styleId="24">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6">
    <w:name w:val="Table Grid"/>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basedOn w:val="27"/>
    <w:qFormat/>
    <w:uiPriority w:val="22"/>
    <w:rPr>
      <w:b/>
      <w:bCs/>
      <w:color w:val="auto"/>
    </w:rPr>
  </w:style>
  <w:style w:type="character" w:styleId="29">
    <w:name w:val="Emphasis"/>
    <w:basedOn w:val="27"/>
    <w:qFormat/>
    <w:uiPriority w:val="20"/>
    <w:rPr>
      <w:i/>
      <w:iCs/>
      <w:color w:val="auto"/>
    </w:rPr>
  </w:style>
  <w:style w:type="character" w:customStyle="1" w:styleId="30">
    <w:name w:val="标题 1 字符"/>
    <w:basedOn w:val="27"/>
    <w:link w:val="2"/>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7"/>
    <w:link w:val="3"/>
    <w:semiHidden/>
    <w:qFormat/>
    <w:uiPriority w:val="9"/>
    <w:rPr>
      <w:rFonts w:asciiTheme="majorHAnsi" w:hAnsiTheme="majorHAnsi" w:eastAsiaTheme="majorEastAsia" w:cstheme="majorBidi"/>
      <w:b/>
      <w:bCs/>
      <w:sz w:val="28"/>
      <w:szCs w:val="28"/>
    </w:rPr>
  </w:style>
  <w:style w:type="character" w:customStyle="1" w:styleId="32">
    <w:name w:val="标题 3 字符"/>
    <w:basedOn w:val="27"/>
    <w:link w:val="4"/>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7"/>
    <w:link w:val="5"/>
    <w:semiHidden/>
    <w:qFormat/>
    <w:uiPriority w:val="9"/>
    <w:rPr>
      <w:rFonts w:asciiTheme="majorHAnsi" w:hAnsiTheme="majorHAnsi" w:eastAsiaTheme="majorEastAsia" w:cstheme="majorBidi"/>
      <w:i/>
      <w:iCs/>
      <w:sz w:val="24"/>
      <w:szCs w:val="24"/>
    </w:rPr>
  </w:style>
  <w:style w:type="character" w:customStyle="1" w:styleId="34">
    <w:name w:val="标题 5 字符"/>
    <w:basedOn w:val="27"/>
    <w:link w:val="6"/>
    <w:semiHidden/>
    <w:qFormat/>
    <w:uiPriority w:val="9"/>
    <w:rPr>
      <w:rFonts w:asciiTheme="majorHAnsi" w:hAnsiTheme="majorHAnsi" w:eastAsiaTheme="majorEastAsia" w:cstheme="majorBidi"/>
      <w:b/>
      <w:bCs/>
    </w:rPr>
  </w:style>
  <w:style w:type="character" w:customStyle="1" w:styleId="35">
    <w:name w:val="标题 6 字符"/>
    <w:basedOn w:val="27"/>
    <w:link w:val="7"/>
    <w:semiHidden/>
    <w:qFormat/>
    <w:uiPriority w:val="9"/>
    <w:rPr>
      <w:rFonts w:asciiTheme="majorHAnsi" w:hAnsiTheme="majorHAnsi" w:eastAsiaTheme="majorEastAsia" w:cstheme="majorBidi"/>
      <w:b/>
      <w:bCs/>
      <w:i/>
      <w:iCs/>
    </w:rPr>
  </w:style>
  <w:style w:type="character" w:customStyle="1" w:styleId="36">
    <w:name w:val="标题 7 字符"/>
    <w:basedOn w:val="27"/>
    <w:link w:val="8"/>
    <w:semiHidden/>
    <w:qFormat/>
    <w:uiPriority w:val="9"/>
    <w:rPr>
      <w:i/>
      <w:iCs/>
    </w:rPr>
  </w:style>
  <w:style w:type="character" w:customStyle="1" w:styleId="37">
    <w:name w:val="标题 8 字符"/>
    <w:basedOn w:val="27"/>
    <w:link w:val="9"/>
    <w:semiHidden/>
    <w:qFormat/>
    <w:uiPriority w:val="9"/>
    <w:rPr>
      <w:b/>
      <w:bCs/>
    </w:rPr>
  </w:style>
  <w:style w:type="character" w:customStyle="1" w:styleId="38">
    <w:name w:val="标题 9 字符"/>
    <w:basedOn w:val="27"/>
    <w:link w:val="10"/>
    <w:semiHidden/>
    <w:qFormat/>
    <w:uiPriority w:val="9"/>
    <w:rPr>
      <w:i/>
      <w:iCs/>
    </w:rPr>
  </w:style>
  <w:style w:type="character" w:customStyle="1" w:styleId="39">
    <w:name w:val="标题 字符"/>
    <w:basedOn w:val="27"/>
    <w:link w:val="24"/>
    <w:qFormat/>
    <w:uiPriority w:val="10"/>
    <w:rPr>
      <w:rFonts w:asciiTheme="majorHAnsi" w:hAnsiTheme="majorHAnsi" w:eastAsiaTheme="majorEastAsia" w:cstheme="majorBidi"/>
      <w:b/>
      <w:bCs/>
      <w:spacing w:val="-7"/>
      <w:sz w:val="48"/>
      <w:szCs w:val="48"/>
    </w:rPr>
  </w:style>
  <w:style w:type="character" w:customStyle="1" w:styleId="40">
    <w:name w:val="副标题 字符"/>
    <w:basedOn w:val="27"/>
    <w:link w:val="19"/>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7"/>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7"/>
    <w:link w:val="44"/>
    <w:qFormat/>
    <w:uiPriority w:val="30"/>
    <w:rPr>
      <w:rFonts w:asciiTheme="majorHAnsi" w:hAnsiTheme="majorHAnsi" w:eastAsiaTheme="majorEastAsia" w:cstheme="majorBidi"/>
      <w:sz w:val="26"/>
      <w:szCs w:val="26"/>
    </w:rPr>
  </w:style>
  <w:style w:type="character" w:customStyle="1" w:styleId="46">
    <w:name w:val="Subtle Emphasis"/>
    <w:basedOn w:val="27"/>
    <w:qFormat/>
    <w:uiPriority w:val="19"/>
    <w:rPr>
      <w:i/>
      <w:iCs/>
      <w:color w:val="auto"/>
    </w:rPr>
  </w:style>
  <w:style w:type="character" w:customStyle="1" w:styleId="47">
    <w:name w:val="Intense Emphasis"/>
    <w:basedOn w:val="27"/>
    <w:qFormat/>
    <w:uiPriority w:val="21"/>
    <w:rPr>
      <w:b/>
      <w:bCs/>
      <w:i/>
      <w:iCs/>
      <w:color w:val="auto"/>
    </w:rPr>
  </w:style>
  <w:style w:type="character" w:customStyle="1" w:styleId="48">
    <w:name w:val="Subtle Reference"/>
    <w:basedOn w:val="27"/>
    <w:qFormat/>
    <w:uiPriority w:val="31"/>
    <w:rPr>
      <w:smallCaps/>
      <w:color w:val="auto"/>
      <w:u w:val="single" w:color="7E7E7E" w:themeColor="text1" w:themeTint="80"/>
    </w:rPr>
  </w:style>
  <w:style w:type="character" w:customStyle="1" w:styleId="49">
    <w:name w:val="Intense Reference"/>
    <w:basedOn w:val="27"/>
    <w:qFormat/>
    <w:uiPriority w:val="32"/>
    <w:rPr>
      <w:b/>
      <w:bCs/>
      <w:smallCaps/>
      <w:color w:val="auto"/>
      <w:u w:val="single"/>
    </w:rPr>
  </w:style>
  <w:style w:type="character" w:customStyle="1" w:styleId="50">
    <w:name w:val="Book Title"/>
    <w:basedOn w:val="27"/>
    <w:qFormat/>
    <w:uiPriority w:val="33"/>
    <w:rPr>
      <w:b/>
      <w:bCs/>
      <w:smallCaps/>
      <w:color w:val="auto"/>
    </w:rPr>
  </w:style>
  <w:style w:type="paragraph" w:customStyle="1" w:styleId="51">
    <w:name w:val="TOC Heading"/>
    <w:basedOn w:val="2"/>
    <w:next w:val="1"/>
    <w:unhideWhenUsed/>
    <w:qFormat/>
    <w:uiPriority w:val="39"/>
    <w:pPr>
      <w:outlineLvl w:val="9"/>
    </w:pPr>
  </w:style>
  <w:style w:type="character" w:customStyle="1" w:styleId="52">
    <w:name w:val="无间隔 字符"/>
    <w:basedOn w:val="27"/>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7"/>
    <w:link w:val="17"/>
    <w:qFormat/>
    <w:uiPriority w:val="99"/>
    <w:rPr>
      <w:sz w:val="18"/>
      <w:szCs w:val="18"/>
    </w:rPr>
  </w:style>
  <w:style w:type="character" w:customStyle="1" w:styleId="55">
    <w:name w:val="页脚 字符"/>
    <w:basedOn w:val="27"/>
    <w:link w:val="16"/>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7"/>
    <w:link w:val="20"/>
    <w:qFormat/>
    <w:uiPriority w:val="0"/>
    <w:rPr>
      <w:rFonts w:ascii="Times New Roman" w:hAnsi="Times New Roman" w:eastAsia="宋体" w:cs="Times New Roman"/>
      <w:kern w:val="2"/>
      <w:sz w:val="16"/>
      <w:szCs w:val="16"/>
    </w:rPr>
  </w:style>
  <w:style w:type="paragraph" w:customStyle="1" w:styleId="58">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7"/>
    <w:link w:val="15"/>
    <w:semiHidden/>
    <w:qFormat/>
    <w:uiPriority w:val="99"/>
    <w:rPr>
      <w:rFonts w:hAnsi="Courier New" w:cs="Courier New" w:asciiTheme="minorEastAsia"/>
    </w:rPr>
  </w:style>
  <w:style w:type="character" w:customStyle="1" w:styleId="60">
    <w:name w:val="正文文本 字符"/>
    <w:basedOn w:val="27"/>
    <w:link w:val="13"/>
    <w:semiHidden/>
    <w:qFormat/>
    <w:uiPriority w:val="99"/>
  </w:style>
  <w:style w:type="character" w:customStyle="1" w:styleId="61">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33</TotalTime>
  <ScaleCrop>false</ScaleCrop>
  <LinksUpToDate>false</LinksUpToDate>
  <CharactersWithSpaces>3430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2021-06-07T02:32:22Z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A12D2D3EA4644D148E25D534569F0AB0</vt:lpwstr>
  </property>
</Properties>
</file>