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spacing w:line="360" w:lineRule="auto"/>
        <w:jc w:val="center"/>
        <w:outlineLvl w:val="0"/>
        <w:rPr>
          <w:rFonts w:ascii="仿宋" w:hAnsi="仿宋" w:eastAsia="仿宋"/>
          <w:b/>
          <w:color w:val="auto"/>
          <w:sz w:val="44"/>
          <w:szCs w:val="44"/>
        </w:rPr>
      </w:pPr>
      <w:bookmarkStart w:id="0" w:name="_Toc267060407"/>
      <w:bookmarkStart w:id="1" w:name="_Toc267059161"/>
      <w:bookmarkStart w:id="2" w:name="_Toc266870861"/>
      <w:bookmarkStart w:id="3" w:name="_Toc266868924"/>
      <w:bookmarkStart w:id="4" w:name="_Toc267059899"/>
      <w:bookmarkStart w:id="5" w:name="_Toc267059633"/>
      <w:bookmarkStart w:id="6" w:name="_Toc259692600"/>
      <w:bookmarkStart w:id="7" w:name="_Toc267059786"/>
      <w:bookmarkStart w:id="8" w:name="_Toc267059519"/>
      <w:bookmarkStart w:id="9" w:name="_Toc267059010"/>
      <w:bookmarkStart w:id="10" w:name="_Toc266870386"/>
      <w:bookmarkStart w:id="11" w:name="_Toc267060162"/>
      <w:bookmarkStart w:id="12" w:name="_Toc266868624"/>
      <w:bookmarkStart w:id="13" w:name="_Toc267060022"/>
      <w:bookmarkStart w:id="14" w:name="_Toc273178686"/>
      <w:bookmarkStart w:id="15" w:name="_Toc259692693"/>
      <w:bookmarkStart w:id="16" w:name="_Toc212456146"/>
      <w:bookmarkStart w:id="17" w:name="_Toc212526081"/>
      <w:bookmarkStart w:id="18" w:name="_Toc212530253"/>
      <w:bookmarkStart w:id="19" w:name="_Toc216241307"/>
      <w:bookmarkStart w:id="20" w:name="_Toc217891359"/>
      <w:bookmarkStart w:id="21" w:name="_Toc225669277"/>
      <w:bookmarkStart w:id="22" w:name="_Toc219800200"/>
      <w:bookmarkStart w:id="23" w:name="_Toc223146565"/>
      <w:bookmarkStart w:id="24" w:name="_Toc227058483"/>
      <w:bookmarkStart w:id="25" w:name="_Toc235437942"/>
      <w:bookmarkStart w:id="26" w:name="_Toc160880487"/>
      <w:bookmarkStart w:id="27" w:name="_Toc169332794"/>
      <w:bookmarkStart w:id="28" w:name="_Toc169332904"/>
      <w:bookmarkStart w:id="29" w:name="_Toc170798743"/>
      <w:bookmarkStart w:id="30" w:name="_Toc177985424"/>
      <w:bookmarkStart w:id="31" w:name="_Toc207014580"/>
      <w:bookmarkStart w:id="32" w:name="_Toc211937196"/>
      <w:bookmarkStart w:id="33" w:name="_Toc212454753"/>
      <w:bookmarkStart w:id="34" w:name="_Toc235438227"/>
      <w:bookmarkStart w:id="35" w:name="_Toc235438297"/>
      <w:bookmarkStart w:id="36" w:name="_Toc236021402"/>
      <w:bookmarkStart w:id="37" w:name="_Toc249325665"/>
      <w:bookmarkStart w:id="38" w:name="_Toc251586187"/>
      <w:bookmarkStart w:id="39" w:name="_Toc251613780"/>
      <w:bookmarkStart w:id="40" w:name="_Toc253066567"/>
      <w:bookmarkStart w:id="41" w:name="_Toc254790852"/>
      <w:bookmarkStart w:id="42" w:name="_Toc255974963"/>
      <w:bookmarkStart w:id="43" w:name="_Toc258401210"/>
      <w:bookmarkStart w:id="44" w:name="_Toc259520819"/>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560" w:firstLineChars="200"/>
        <w:rPr>
          <w:rFonts w:hint="eastAsia" w:ascii="仿宋" w:hAnsi="仿宋" w:eastAsia="仿宋" w:cs="仿宋"/>
          <w:color w:val="auto"/>
          <w:sz w:val="28"/>
          <w:szCs w:val="28"/>
        </w:rPr>
      </w:pPr>
      <w:bookmarkStart w:id="45" w:name="_Hlk10840310"/>
      <w:r>
        <w:rPr>
          <w:rFonts w:hint="eastAsia" w:ascii="仿宋" w:hAnsi="仿宋" w:eastAsia="仿宋" w:cs="仿宋"/>
          <w:color w:val="000000" w:themeColor="text1"/>
          <w:sz w:val="28"/>
          <w:szCs w:val="28"/>
          <w:lang w:eastAsia="zh-CN"/>
          <w14:textFill>
            <w14:solidFill>
              <w14:schemeClr w14:val="tx1"/>
            </w14:solidFill>
          </w14:textFill>
        </w:rPr>
        <w:t>郑</w:t>
      </w:r>
      <w:r>
        <w:rPr>
          <w:rFonts w:hint="eastAsia" w:ascii="仿宋" w:hAnsi="仿宋" w:eastAsia="仿宋" w:cs="仿宋"/>
          <w:color w:val="000000" w:themeColor="text1"/>
          <w:sz w:val="28"/>
          <w:szCs w:val="28"/>
          <w14:textFill>
            <w14:solidFill>
              <w14:schemeClr w14:val="tx1"/>
            </w14:solidFill>
          </w14:textFill>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s="仿宋"/>
          <w:color w:val="000000" w:themeColor="text1"/>
          <w:sz w:val="28"/>
          <w:szCs w:val="28"/>
          <w:lang w:eastAsia="zh-CN"/>
          <w14:textFill>
            <w14:solidFill>
              <w14:schemeClr w14:val="tx1"/>
            </w14:solidFill>
          </w14:textFill>
        </w:rPr>
        <w:t>郑州城轨交通中等专业</w:t>
      </w:r>
      <w:r>
        <w:rPr>
          <w:rFonts w:hint="eastAsia" w:ascii="仿宋" w:hAnsi="仿宋" w:eastAsia="仿宋" w:cs="仿宋"/>
          <w:color w:val="000000" w:themeColor="text1"/>
          <w:sz w:val="28"/>
          <w:szCs w:val="28"/>
          <w14:textFill>
            <w14:solidFill>
              <w14:schemeClr w14:val="tx1"/>
            </w14:solidFill>
          </w14:textFill>
        </w:rPr>
        <w:t>学校</w:t>
      </w:r>
      <w:r>
        <w:rPr>
          <w:rFonts w:hint="eastAsia" w:ascii="仿宋" w:hAnsi="仿宋" w:eastAsia="仿宋" w:cs="仿宋"/>
          <w:color w:val="000000" w:themeColor="text1"/>
          <w:sz w:val="28"/>
          <w:szCs w:val="28"/>
          <w:lang w:val="en-US" w:eastAsia="zh-CN"/>
          <w14:textFill>
            <w14:solidFill>
              <w14:schemeClr w14:val="tx1"/>
            </w14:solidFill>
          </w14:textFill>
        </w:rPr>
        <w:t>2022年车辆维修项目</w:t>
      </w:r>
      <w:r>
        <w:rPr>
          <w:rFonts w:hint="eastAsia" w:ascii="仿宋" w:hAnsi="仿宋" w:eastAsia="仿宋" w:cs="仿宋"/>
          <w:color w:val="000000" w:themeColor="text1"/>
          <w:sz w:val="28"/>
          <w:szCs w:val="28"/>
          <w14:textFill>
            <w14:solidFill>
              <w14:schemeClr w14:val="tx1"/>
            </w14:solidFill>
          </w14:textFill>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项目编号：</w:t>
      </w:r>
      <w:r>
        <w:rPr>
          <w:rFonts w:hint="eastAsia" w:ascii="仿宋" w:hAnsi="仿宋" w:eastAsia="仿宋" w:cs="仿宋"/>
          <w:b w:val="0"/>
          <w:bCs/>
          <w:color w:val="auto"/>
          <w:sz w:val="28"/>
          <w:szCs w:val="28"/>
          <w:lang w:val="en-US" w:eastAsia="zh-CN"/>
        </w:rPr>
        <w:t>ZZCG20220406</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项目名称：</w:t>
      </w:r>
      <w:r>
        <w:rPr>
          <w:rFonts w:hint="eastAsia" w:ascii="仿宋" w:hAnsi="仿宋" w:eastAsia="仿宋"/>
          <w:sz w:val="24"/>
          <w:szCs w:val="24"/>
          <w:lang w:val="en-US" w:eastAsia="zh-CN"/>
        </w:rPr>
        <w:t>郑州城轨交通中等专业</w:t>
      </w:r>
      <w:r>
        <w:rPr>
          <w:rFonts w:hint="eastAsia" w:ascii="仿宋" w:hAnsi="仿宋" w:eastAsia="仿宋"/>
          <w:color w:val="auto"/>
          <w:sz w:val="24"/>
          <w:szCs w:val="24"/>
          <w:lang w:val="en-US" w:eastAsia="zh-CN"/>
        </w:rPr>
        <w:t>学校2022年车辆维修项目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sz w:val="24"/>
          <w:szCs w:val="24"/>
        </w:rPr>
        <w:t>数量及主要技术要</w:t>
      </w:r>
      <w:r>
        <w:rPr>
          <w:rFonts w:hint="eastAsia" w:ascii="仿宋" w:hAnsi="仿宋" w:eastAsia="仿宋"/>
          <w:color w:val="auto"/>
          <w:sz w:val="24"/>
          <w:szCs w:val="24"/>
          <w:highlight w:val="none"/>
        </w:rPr>
        <w:t>求:详见《公开询价货物一览表》。</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5"/>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参与人应具有独立法人资格的生产厂商或授权经销商。</w:t>
      </w:r>
    </w:p>
    <w:p>
      <w:pPr>
        <w:pStyle w:val="55"/>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参与人应具有合法有效的营业执照，经营范围应包括</w:t>
      </w:r>
      <w:r>
        <w:rPr>
          <w:rFonts w:hint="eastAsia" w:ascii="仿宋" w:hAnsi="仿宋" w:eastAsia="仿宋"/>
          <w:color w:val="auto"/>
          <w:sz w:val="24"/>
          <w:szCs w:val="24"/>
          <w:highlight w:val="none"/>
          <w:lang w:val="en-US" w:eastAsia="zh-CN"/>
        </w:rPr>
        <w:t>汽车维修相关</w:t>
      </w:r>
      <w:r>
        <w:rPr>
          <w:rFonts w:hint="eastAsia" w:ascii="仿宋" w:hAnsi="仿宋" w:eastAsia="仿宋"/>
          <w:color w:val="auto"/>
          <w:sz w:val="24"/>
          <w:szCs w:val="24"/>
          <w:highlight w:val="none"/>
        </w:rPr>
        <w:t>资质</w:t>
      </w:r>
    </w:p>
    <w:p>
      <w:pPr>
        <w:pStyle w:val="55"/>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w:t>
      </w:r>
      <w:r>
        <w:rPr>
          <w:rFonts w:ascii="仿宋" w:hAnsi="仿宋" w:eastAsia="仿宋"/>
          <w:color w:val="auto"/>
          <w:sz w:val="24"/>
          <w:szCs w:val="24"/>
          <w:highlight w:val="none"/>
        </w:rPr>
        <w:t>有提</w:t>
      </w:r>
      <w:r>
        <w:rPr>
          <w:rFonts w:hint="eastAsia" w:ascii="仿宋" w:hAnsi="仿宋" w:eastAsia="仿宋"/>
          <w:color w:val="auto"/>
          <w:sz w:val="24"/>
          <w:szCs w:val="24"/>
          <w:highlight w:val="none"/>
        </w:rPr>
        <w:t>供</w:t>
      </w:r>
      <w:r>
        <w:rPr>
          <w:rFonts w:hint="eastAsia" w:ascii="仿宋" w:hAnsi="仿宋" w:eastAsia="仿宋"/>
          <w:color w:val="auto"/>
          <w:sz w:val="24"/>
          <w:szCs w:val="24"/>
          <w:highlight w:val="none"/>
          <w:lang w:val="en-US" w:eastAsia="zh-CN"/>
        </w:rPr>
        <w:t>宇通客车维修</w:t>
      </w:r>
      <w:r>
        <w:rPr>
          <w:rFonts w:ascii="仿宋" w:hAnsi="仿宋" w:eastAsia="仿宋"/>
          <w:color w:val="auto"/>
          <w:sz w:val="24"/>
          <w:szCs w:val="24"/>
          <w:highlight w:val="none"/>
        </w:rPr>
        <w:t>和服务的能力</w:t>
      </w:r>
      <w:r>
        <w:rPr>
          <w:rFonts w:hint="eastAsia" w:ascii="仿宋" w:hAnsi="仿宋" w:eastAsia="仿宋"/>
          <w:color w:val="auto"/>
          <w:sz w:val="24"/>
          <w:szCs w:val="24"/>
          <w:highlight w:val="none"/>
          <w:lang w:eastAsia="zh-CN"/>
        </w:rPr>
        <w:t>，</w:t>
      </w:r>
      <w:r>
        <w:rPr>
          <w:rFonts w:hint="eastAsia" w:ascii="仿宋" w:hAnsi="仿宋" w:eastAsia="仿宋"/>
          <w:color w:val="auto"/>
          <w:sz w:val="24"/>
          <w:szCs w:val="24"/>
          <w:highlight w:val="none"/>
          <w:lang w:val="en-US" w:eastAsia="zh-CN"/>
        </w:rPr>
        <w:t>在郑州市内有固定的维修场地</w:t>
      </w:r>
      <w:r>
        <w:rPr>
          <w:rFonts w:hint="eastAsia" w:ascii="仿宋" w:hAnsi="仿宋" w:eastAsia="仿宋"/>
          <w:color w:val="auto"/>
          <w:sz w:val="24"/>
          <w:szCs w:val="24"/>
          <w:highlight w:val="none"/>
        </w:rPr>
        <w:t>，具备相应的维护保养能力。</w:t>
      </w:r>
    </w:p>
    <w:p>
      <w:pPr>
        <w:widowControl w:val="0"/>
        <w:numPr>
          <w:ilvl w:val="1"/>
          <w:numId w:val="1"/>
        </w:numPr>
        <w:spacing w:after="0" w:line="500" w:lineRule="exact"/>
        <w:rPr>
          <w:rFonts w:ascii="仿宋" w:hAnsi="仿宋" w:eastAsia="仿宋"/>
          <w:color w:val="auto"/>
          <w:sz w:val="24"/>
          <w:szCs w:val="24"/>
          <w:highlight w:val="none"/>
          <w:shd w:val="clear" w:color="auto" w:fill="FFFFFF"/>
        </w:rPr>
      </w:pPr>
      <w:r>
        <w:rPr>
          <w:rFonts w:hint="eastAsia" w:ascii="仿宋" w:hAnsi="仿宋" w:eastAsia="仿宋"/>
          <w:color w:val="auto"/>
          <w:sz w:val="24"/>
          <w:szCs w:val="24"/>
          <w:highlight w:val="none"/>
        </w:rPr>
        <w:t>报价响应文件递交方式：密封报价，按规定时间送达或邮寄。</w:t>
      </w:r>
    </w:p>
    <w:p>
      <w:pPr>
        <w:widowControl w:val="0"/>
        <w:numPr>
          <w:ilvl w:val="1"/>
          <w:numId w:val="1"/>
        </w:numPr>
        <w:spacing w:after="0" w:line="500" w:lineRule="exact"/>
        <w:rPr>
          <w:rFonts w:ascii="仿宋" w:hAnsi="仿宋" w:eastAsia="仿宋"/>
          <w:color w:val="auto"/>
          <w:sz w:val="24"/>
          <w:szCs w:val="24"/>
          <w:highlight w:val="none"/>
          <w:shd w:val="clear" w:color="auto" w:fill="FFFFFF"/>
        </w:rPr>
      </w:pPr>
      <w:r>
        <w:rPr>
          <w:rFonts w:hint="eastAsia" w:ascii="仿宋" w:hAnsi="仿宋" w:eastAsia="仿宋"/>
          <w:color w:val="auto"/>
          <w:sz w:val="24"/>
          <w:szCs w:val="24"/>
          <w:highlight w:val="none"/>
        </w:rPr>
        <w:t>报价响应文件递交截止时间</w:t>
      </w:r>
      <w:r>
        <w:rPr>
          <w:rFonts w:hint="eastAsia" w:ascii="仿宋" w:hAnsi="仿宋" w:eastAsia="仿宋"/>
          <w:color w:val="auto"/>
          <w:sz w:val="24"/>
          <w:szCs w:val="24"/>
          <w:highlight w:val="none"/>
          <w:shd w:val="clear" w:color="auto" w:fill="FFFFFF"/>
        </w:rPr>
        <w:t>：</w:t>
      </w:r>
      <w:r>
        <w:rPr>
          <w:rFonts w:hint="eastAsia" w:ascii="仿宋" w:hAnsi="仿宋" w:eastAsia="仿宋"/>
          <w:color w:val="auto"/>
          <w:sz w:val="24"/>
          <w:szCs w:val="24"/>
          <w:highlight w:val="none"/>
          <w:shd w:val="clear" w:color="auto" w:fill="FFFFFF"/>
          <w:lang w:val="en-US" w:eastAsia="zh-CN"/>
        </w:rPr>
        <w:t>2022</w:t>
      </w:r>
      <w:r>
        <w:rPr>
          <w:rFonts w:hint="eastAsia" w:ascii="仿宋" w:hAnsi="仿宋" w:eastAsia="仿宋"/>
          <w:color w:val="auto"/>
          <w:sz w:val="24"/>
          <w:szCs w:val="24"/>
          <w:highlight w:val="none"/>
          <w:shd w:val="clear" w:color="auto" w:fill="FFFFFF"/>
        </w:rPr>
        <w:t>年</w:t>
      </w:r>
      <w:r>
        <w:rPr>
          <w:rFonts w:hint="eastAsia" w:ascii="仿宋" w:hAnsi="仿宋" w:eastAsia="仿宋"/>
          <w:color w:val="auto"/>
          <w:sz w:val="24"/>
          <w:szCs w:val="24"/>
          <w:highlight w:val="none"/>
          <w:shd w:val="clear" w:color="auto" w:fill="FFFFFF"/>
          <w:lang w:val="en-US" w:eastAsia="zh-CN"/>
        </w:rPr>
        <w:t>4</w:t>
      </w:r>
      <w:r>
        <w:rPr>
          <w:rFonts w:ascii="仿宋" w:hAnsi="仿宋" w:eastAsia="仿宋"/>
          <w:color w:val="auto"/>
          <w:sz w:val="24"/>
          <w:szCs w:val="24"/>
          <w:highlight w:val="none"/>
          <w:shd w:val="clear" w:color="auto" w:fill="FFFFFF"/>
        </w:rPr>
        <w:t>月</w:t>
      </w:r>
      <w:r>
        <w:rPr>
          <w:rFonts w:hint="eastAsia" w:ascii="仿宋" w:hAnsi="仿宋" w:eastAsia="仿宋"/>
          <w:color w:val="auto"/>
          <w:sz w:val="24"/>
          <w:szCs w:val="24"/>
          <w:highlight w:val="none"/>
          <w:shd w:val="clear" w:color="auto" w:fill="FFFFFF"/>
          <w:lang w:val="en-US" w:eastAsia="zh-CN"/>
        </w:rPr>
        <w:t>20</w:t>
      </w:r>
      <w:r>
        <w:rPr>
          <w:rFonts w:ascii="仿宋" w:hAnsi="仿宋" w:eastAsia="仿宋"/>
          <w:color w:val="auto"/>
          <w:sz w:val="24"/>
          <w:szCs w:val="24"/>
          <w:highlight w:val="none"/>
          <w:shd w:val="clear" w:color="auto" w:fill="FFFFFF"/>
        </w:rPr>
        <w:t>日</w:t>
      </w:r>
      <w:r>
        <w:rPr>
          <w:rFonts w:hint="eastAsia" w:ascii="仿宋" w:hAnsi="仿宋" w:eastAsia="仿宋"/>
          <w:color w:val="auto"/>
          <w:sz w:val="24"/>
          <w:szCs w:val="24"/>
          <w:highlight w:val="none"/>
          <w:shd w:val="clear" w:color="auto" w:fill="FFFFFF"/>
        </w:rPr>
        <w:t>下午</w:t>
      </w:r>
      <w:r>
        <w:rPr>
          <w:rFonts w:ascii="仿宋" w:hAnsi="仿宋" w:eastAsia="仿宋"/>
          <w:color w:val="auto"/>
          <w:sz w:val="24"/>
          <w:szCs w:val="24"/>
          <w:highlight w:val="none"/>
          <w:shd w:val="clear" w:color="auto" w:fill="FFFFFF"/>
        </w:rPr>
        <w:t>16</w:t>
      </w:r>
      <w:r>
        <w:rPr>
          <w:rFonts w:hint="eastAsia" w:ascii="仿宋" w:hAnsi="仿宋" w:eastAsia="仿宋"/>
          <w:color w:val="auto"/>
          <w:sz w:val="24"/>
          <w:szCs w:val="24"/>
          <w:highlight w:val="none"/>
          <w:shd w:val="clear" w:color="auto" w:fill="FFFFFF"/>
        </w:rPr>
        <w:t>:</w:t>
      </w:r>
      <w:r>
        <w:rPr>
          <w:rFonts w:ascii="仿宋" w:hAnsi="仿宋" w:eastAsia="仿宋"/>
          <w:color w:val="auto"/>
          <w:sz w:val="24"/>
          <w:szCs w:val="24"/>
          <w:highlight w:val="none"/>
          <w:shd w:val="clear" w:color="auto" w:fill="FFFFFF"/>
        </w:rPr>
        <w:t>00</w:t>
      </w:r>
      <w:r>
        <w:rPr>
          <w:rFonts w:hint="eastAsia" w:ascii="仿宋" w:hAnsi="仿宋" w:eastAsia="仿宋"/>
          <w:color w:val="auto"/>
          <w:sz w:val="24"/>
          <w:szCs w:val="24"/>
          <w:highlight w:val="none"/>
          <w:shd w:val="clear" w:color="auto" w:fill="FFFFFF"/>
          <w:lang w:val="en-US" w:eastAsia="zh-CN"/>
        </w:rPr>
        <w:t>前</w:t>
      </w:r>
      <w:r>
        <w:rPr>
          <w:rFonts w:hint="eastAsia" w:ascii="仿宋" w:hAnsi="仿宋" w:eastAsia="仿宋"/>
          <w:color w:val="auto"/>
          <w:sz w:val="24"/>
          <w:szCs w:val="24"/>
          <w:highlight w:val="none"/>
          <w:shd w:val="clear" w:color="auto" w:fill="FFFFFF"/>
        </w:rPr>
        <w:t>。</w:t>
      </w:r>
    </w:p>
    <w:p>
      <w:pPr>
        <w:pStyle w:val="55"/>
        <w:numPr>
          <w:ilvl w:val="1"/>
          <w:numId w:val="1"/>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报价响应文件递交</w:t>
      </w:r>
      <w:r>
        <w:rPr>
          <w:rFonts w:hint="eastAsia" w:ascii="仿宋" w:hAnsi="仿宋" w:eastAsia="仿宋" w:cstheme="minorBidi"/>
          <w:color w:val="auto"/>
          <w:sz w:val="24"/>
          <w:szCs w:val="24"/>
          <w:highlight w:val="none"/>
          <w:lang w:val="en-US" w:eastAsia="zh-CN" w:bidi="ar-SA"/>
        </w:rPr>
        <w:t>地点：郑州城轨交通中等专业学校</w:t>
      </w:r>
    </w:p>
    <w:p>
      <w:pPr>
        <w:pStyle w:val="55"/>
        <w:spacing w:after="0" w:line="500" w:lineRule="exact"/>
        <w:ind w:left="839" w:firstLine="0" w:firstLineChars="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联系人：</w:t>
      </w:r>
      <w:r>
        <w:rPr>
          <w:rFonts w:hint="eastAsia" w:ascii="仿宋" w:hAnsi="仿宋" w:eastAsia="仿宋"/>
          <w:color w:val="auto"/>
          <w:sz w:val="24"/>
          <w:szCs w:val="24"/>
          <w:highlight w:val="none"/>
          <w:lang w:val="en-US" w:eastAsia="zh-CN"/>
        </w:rPr>
        <w:t>王景</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18860366321</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，请在报价响应文件递交截止之日前，将问题以书面形式（有效签署的原件并加盖公章）提交至学校业务对接人，联系人：</w:t>
      </w:r>
      <w:r>
        <w:rPr>
          <w:rFonts w:hint="eastAsia" w:ascii="仿宋" w:hAnsi="仿宋" w:eastAsia="仿宋"/>
          <w:color w:val="auto"/>
          <w:sz w:val="24"/>
          <w:szCs w:val="24"/>
          <w:lang w:val="en-US" w:eastAsia="zh-CN"/>
        </w:rPr>
        <w:t>王景</w:t>
      </w:r>
      <w:r>
        <w:rPr>
          <w:rFonts w:hint="eastAsia" w:ascii="仿宋" w:hAnsi="仿宋" w:eastAsia="仿宋"/>
          <w:color w:val="auto"/>
          <w:sz w:val="24"/>
          <w:szCs w:val="24"/>
        </w:rPr>
        <w:t>，电话：</w:t>
      </w:r>
      <w:r>
        <w:rPr>
          <w:rFonts w:hint="eastAsia" w:ascii="仿宋" w:hAnsi="仿宋" w:eastAsia="仿宋"/>
          <w:color w:val="auto"/>
          <w:sz w:val="24"/>
          <w:szCs w:val="24"/>
          <w:lang w:val="en-US" w:eastAsia="zh-CN"/>
        </w:rPr>
        <w:t>18860366321</w:t>
      </w:r>
      <w:r>
        <w:rPr>
          <w:rFonts w:hint="eastAsia" w:ascii="仿宋" w:hAnsi="仿宋" w:eastAsia="仿宋"/>
          <w:color w:val="auto"/>
          <w:sz w:val="24"/>
          <w:szCs w:val="24"/>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8"/>
          <w:rFonts w:hint="eastAsia" w:ascii="仿宋" w:hAnsi="仿宋" w:eastAsia="仿宋"/>
          <w:color w:val="auto"/>
          <w:sz w:val="24"/>
          <w:szCs w:val="24"/>
        </w:rPr>
        <w:t>www.ceghqxz.com</w:t>
      </w:r>
      <w:r>
        <w:rPr>
          <w:rStyle w:val="28"/>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，须由参与人填写并加盖公章（正本</w:t>
      </w:r>
      <w:r>
        <w:rPr>
          <w:rFonts w:hint="eastAsia" w:ascii="仿宋" w:hAnsi="仿宋" w:eastAsia="仿宋"/>
          <w:sz w:val="24"/>
          <w:szCs w:val="24"/>
          <w:lang w:eastAsia="zh-CN"/>
        </w:rPr>
        <w:t>壹</w:t>
      </w:r>
      <w:r>
        <w:rPr>
          <w:rFonts w:hint="eastAsia" w:ascii="仿宋" w:hAnsi="仿宋" w:eastAsia="仿宋"/>
          <w:sz w:val="24"/>
          <w:szCs w:val="24"/>
        </w:rPr>
        <w:t>份副本</w:t>
      </w:r>
      <w:r>
        <w:rPr>
          <w:rFonts w:hint="eastAsia" w:ascii="仿宋" w:hAnsi="仿宋" w:eastAsia="仿宋"/>
          <w:sz w:val="24"/>
          <w:szCs w:val="24"/>
          <w:lang w:eastAsia="zh-CN"/>
        </w:rPr>
        <w:t>壹</w:t>
      </w:r>
      <w:r>
        <w:rPr>
          <w:rFonts w:hint="eastAsia" w:ascii="仿宋" w:hAnsi="仿宋" w:eastAsia="仿宋"/>
          <w:sz w:val="24"/>
          <w:szCs w:val="24"/>
        </w:rPr>
        <w:t>份）；</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55"/>
        <w:widowControl w:val="0"/>
        <w:numPr>
          <w:ilvl w:val="3"/>
          <w:numId w:val="4"/>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免费保修期</w:t>
      </w:r>
      <w:r>
        <w:rPr>
          <w:rFonts w:hint="eastAsia" w:ascii="仿宋" w:hAnsi="仿宋" w:eastAsia="仿宋"/>
          <w:sz w:val="24"/>
          <w:szCs w:val="24"/>
          <w:lang w:eastAsia="zh-CN"/>
        </w:rPr>
        <w:t>；</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应急维修时间安排：</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维修地点、地址、联系电话及联系人员：</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维修服务收费标准：</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主要零配件及易耗品价格：</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制造商的技术支持。</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四、确定成交参与人标准及原则：</w:t>
      </w:r>
    </w:p>
    <w:p>
      <w:pPr>
        <w:pStyle w:val="55"/>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5"/>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参与人所投物品符合需求、质量和服务等的要求,经过磋商所报价格为合理价格的参与人为成交参与人。</w:t>
      </w:r>
    </w:p>
    <w:p>
      <w:pPr>
        <w:pStyle w:val="55"/>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5"/>
        <w:spacing w:after="0" w:line="500" w:lineRule="exact"/>
        <w:ind w:left="851" w:firstLine="0" w:firstLineChars="0"/>
        <w:jc w:val="left"/>
        <w:rPr>
          <w:rFonts w:ascii="仿宋" w:hAnsi="仿宋" w:eastAsia="仿宋"/>
          <w:sz w:val="24"/>
          <w:szCs w:val="24"/>
        </w:rPr>
      </w:pPr>
    </w:p>
    <w:p>
      <w:pPr>
        <w:pStyle w:val="55"/>
        <w:spacing w:after="0" w:line="500" w:lineRule="exact"/>
        <w:ind w:left="851" w:firstLine="0" w:firstLineChars="0"/>
        <w:jc w:val="left"/>
        <w:rPr>
          <w:rFonts w:ascii="仿宋" w:hAnsi="仿宋" w:eastAsia="仿宋"/>
          <w:color w:val="auto"/>
          <w:sz w:val="24"/>
          <w:szCs w:val="24"/>
        </w:rPr>
      </w:pPr>
    </w:p>
    <w:p>
      <w:pPr>
        <w:pStyle w:val="55"/>
        <w:spacing w:after="0" w:line="500" w:lineRule="exact"/>
        <w:ind w:left="851" w:firstLine="0" w:firstLineChars="0"/>
        <w:jc w:val="center"/>
        <w:rPr>
          <w:rFonts w:ascii="仿宋" w:hAnsi="仿宋" w:eastAsia="仿宋"/>
          <w:sz w:val="24"/>
          <w:szCs w:val="24"/>
        </w:rPr>
      </w:pPr>
      <w:bookmarkStart w:id="179" w:name="_GoBack"/>
      <w:bookmarkEnd w:id="179"/>
      <w:r>
        <w:rPr>
          <w:rFonts w:ascii="仿宋" w:hAnsi="仿宋" w:eastAsia="仿宋"/>
          <w:color w:val="FF0000"/>
          <w:sz w:val="28"/>
          <w:szCs w:val="28"/>
        </w:rPr>
        <w:br w:type="page"/>
      </w:r>
      <w:r>
        <w:rPr>
          <w:rFonts w:hint="eastAsia" w:ascii="仿宋" w:hAnsi="仿宋" w:eastAsia="仿宋"/>
          <w:b/>
          <w:color w:val="FF0000"/>
          <w:sz w:val="44"/>
          <w:szCs w:val="44"/>
        </w:rPr>
        <w:t>公开询价货物一览表</w:t>
      </w:r>
      <w:bookmarkEnd w:id="45"/>
    </w:p>
    <w:tbl>
      <w:tblPr>
        <w:tblStyle w:val="24"/>
        <w:tblW w:w="9206" w:type="dxa"/>
        <w:tblInd w:w="0" w:type="dxa"/>
        <w:shd w:val="clear" w:color="auto" w:fill="auto"/>
        <w:tblLayout w:type="autofit"/>
        <w:tblCellMar>
          <w:top w:w="0" w:type="dxa"/>
          <w:left w:w="0" w:type="dxa"/>
          <w:bottom w:w="0" w:type="dxa"/>
          <w:right w:w="0" w:type="dxa"/>
        </w:tblCellMar>
      </w:tblPr>
      <w:tblGrid>
        <w:gridCol w:w="327"/>
        <w:gridCol w:w="1739"/>
        <w:gridCol w:w="645"/>
        <w:gridCol w:w="1185"/>
        <w:gridCol w:w="1185"/>
        <w:gridCol w:w="1740"/>
        <w:gridCol w:w="2385"/>
      </w:tblGrid>
      <w:tr>
        <w:tblPrEx>
          <w:shd w:val="clear" w:color="auto" w:fill="auto"/>
          <w:tblCellMar>
            <w:top w:w="0" w:type="dxa"/>
            <w:left w:w="0" w:type="dxa"/>
            <w:bottom w:w="0" w:type="dxa"/>
            <w:right w:w="0" w:type="dxa"/>
          </w:tblCellMar>
        </w:tblPrEx>
        <w:trPr>
          <w:trHeight w:val="1152" w:hRule="atLeast"/>
        </w:trPr>
        <w:tc>
          <w:tcPr>
            <w:tcW w:w="327" w:type="dxa"/>
            <w:tcBorders>
              <w:top w:val="single" w:color="auto" w:sz="4" w:space="0"/>
              <w:left w:val="single" w:color="auto"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1739"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维修项目</w:t>
            </w:r>
          </w:p>
        </w:tc>
        <w:tc>
          <w:tcPr>
            <w:tcW w:w="64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数量</w:t>
            </w:r>
          </w:p>
        </w:tc>
        <w:tc>
          <w:tcPr>
            <w:tcW w:w="118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维修费用单价</w:t>
            </w:r>
          </w:p>
        </w:tc>
        <w:tc>
          <w:tcPr>
            <w:tcW w:w="118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维修费用总价</w:t>
            </w:r>
          </w:p>
        </w:tc>
        <w:tc>
          <w:tcPr>
            <w:tcW w:w="1740"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质保期</w:t>
            </w:r>
          </w:p>
        </w:tc>
        <w:tc>
          <w:tcPr>
            <w:tcW w:w="2385" w:type="dxa"/>
            <w:tcBorders>
              <w:top w:val="single" w:color="auto" w:sz="4" w:space="0"/>
              <w:left w:val="single" w:color="000000" w:sz="4" w:space="0"/>
              <w:bottom w:val="single" w:color="auto" w:sz="4" w:space="0"/>
              <w:right w:val="single" w:color="auto"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2"/>
                <w:szCs w:val="22"/>
                <w:u w:val="none"/>
                <w:lang w:val="en-US" w:eastAsia="zh-CN" w:bidi="ar"/>
              </w:rPr>
            </w:pPr>
            <w:r>
              <w:rPr>
                <w:rFonts w:hint="eastAsia" w:ascii="宋体" w:hAnsi="宋体" w:cs="宋体"/>
                <w:b/>
                <w:i w:val="0"/>
                <w:color w:val="000000"/>
                <w:kern w:val="0"/>
                <w:sz w:val="22"/>
                <w:szCs w:val="22"/>
                <w:u w:val="none"/>
                <w:lang w:val="en-US" w:eastAsia="zh-CN" w:bidi="ar"/>
              </w:rPr>
              <w:t>备注</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w:t>
            </w:r>
          </w:p>
        </w:tc>
        <w:tc>
          <w:tcPr>
            <w:tcW w:w="1739"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保养发动机</w:t>
            </w:r>
          </w:p>
        </w:tc>
        <w:tc>
          <w:tcPr>
            <w:tcW w:w="64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保养四轮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更换缸床垫</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shd w:val="clear" w:color="auto" w:fill="auto"/>
          <w:tblCellMar>
            <w:top w:w="0" w:type="dxa"/>
            <w:left w:w="0" w:type="dxa"/>
            <w:bottom w:w="0" w:type="dxa"/>
            <w:right w:w="0" w:type="dxa"/>
          </w:tblCellMar>
        </w:tblPrEx>
        <w:trPr>
          <w:trHeight w:val="9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发动机四配套</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四缸机（不包含台发动机）</w:t>
            </w:r>
          </w:p>
        </w:tc>
      </w:tr>
      <w:tr>
        <w:tblPrEx>
          <w:shd w:val="clear" w:color="auto" w:fill="auto"/>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发动机四配套</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六缸机（不包含台发动机）</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更换喷油器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调气门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shd w:val="clear" w:color="auto" w:fill="auto"/>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更换水泵总成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不包含拆装水箱及中冷器</w:t>
            </w:r>
          </w:p>
        </w:tc>
      </w:tr>
      <w:tr>
        <w:tblPrEx>
          <w:shd w:val="clear" w:color="auto" w:fill="auto"/>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拆装中冷器总成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后置发动机（前置加100）</w:t>
            </w:r>
          </w:p>
        </w:tc>
      </w:tr>
      <w:tr>
        <w:tblPrEx>
          <w:shd w:val="clear" w:color="auto" w:fill="auto"/>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拆装水箱散热器总成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后置发动机（前置加100）</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更换油门拉线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更换档位拉线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shd w:val="clear" w:color="auto" w:fill="auto"/>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更换离合器摩擦片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不含缓速器前置加100</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拆装离合器总泵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拆装离合器分泵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更换离合器摩擦片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包含缓速器前置加100</w:t>
            </w:r>
          </w:p>
        </w:tc>
      </w:tr>
      <w:tr>
        <w:tblPrEx>
          <w:shd w:val="clear" w:color="auto" w:fill="auto"/>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更换二轴的各档齿轮及轴承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不包含吊装变速箱</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更换中间轴各档齿轮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不包含吊装变速箱</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更换变速箱后油封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不带缓速器车辆</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拆装传动轴总成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shd w:val="clear" w:color="auto" w:fill="auto"/>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拆装后桥总成（钢板悬架）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拆装后桥总成（气囊悬架）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拆装主减速器总成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更换差速器油封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拆装气囊</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shd w:val="clear" w:color="auto" w:fill="auto"/>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拆装前钢板弹簧总成（单边）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拆装后钢板弹簧总成（单边）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拆装前钢板弹簧单片（单边）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拆装后钢板弹簧单片（单边）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更换前桥总成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更换转向节单边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 </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轮胎平衡（条）</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更换方向机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更换拉杆球头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调整前束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前轮定位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包含检查倾角</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四轮定位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不包含三桥车</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第三桥定位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更换前制动鼓（单轮）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拆装制动钳（单轮）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更换前制动盘（单轮）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更换刹车片（单轮）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不包含拆装车轮，拆装制动蹄</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更换刹车分泵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单轮</w:t>
            </w:r>
          </w:p>
        </w:tc>
      </w:tr>
      <w:tr>
        <w:tblPrEx>
          <w:shd w:val="clear" w:color="auto" w:fill="auto"/>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更换制动总泵（气制动）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单独卯刹车片（每副）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更换起动机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更换发电机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拆装电涡流缓速器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更换缓速器定子线圈单个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不包含拆装电涡流缓速器</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更换车轮传感器单个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打黄油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包括材料</w:t>
            </w:r>
          </w:p>
        </w:tc>
      </w:tr>
      <w:tr>
        <w:tblPrEx>
          <w:shd w:val="clear" w:color="auto" w:fill="auto"/>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检查线路（单个部位）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各种传感器线束小修</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更换门泵修理包单个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电脑检测发动机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更换边仓门锁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更换齿轮油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检查更换一样</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更换转向助力泵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更换干燥器总称</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更换调整臂</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不包含拆装车轮 </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更换减震器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拆装火花塞</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shd w:val="clear" w:color="auto" w:fill="auto"/>
          <w:tblCellMar>
            <w:top w:w="0" w:type="dxa"/>
            <w:left w:w="0" w:type="dxa"/>
            <w:bottom w:w="0" w:type="dxa"/>
            <w:right w:w="0" w:type="dxa"/>
          </w:tblCellMar>
        </w:tblPrEx>
        <w:trPr>
          <w:trHeight w:val="344"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拆装飞轮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集中润滑注油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更换车身顶灯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包含打密封胶</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电子继电器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保险片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雨刮器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车用尿素</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10L</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防冻液</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10L</w:t>
            </w: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保养发电机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保养起动机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shd w:val="clear" w:color="auto" w:fill="auto"/>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修补轮胎</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bl>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参与人所投商品报价应包含税费、运输费、搬运费、整体实施、安装调试费、售后服务等一切费用。</w:t>
      </w:r>
    </w:p>
    <w:p>
      <w:pPr>
        <w:spacing w:line="500" w:lineRule="exact"/>
        <w:jc w:val="left"/>
        <w:rPr>
          <w:rFonts w:ascii="仿宋" w:hAnsi="仿宋" w:eastAsia="仿宋"/>
          <w:b/>
          <w:color w:val="FF0000"/>
          <w:sz w:val="36"/>
          <w:szCs w:val="36"/>
        </w:rPr>
      </w:pP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cols w:space="425" w:num="1"/>
          <w:titlePg/>
          <w:docGrid w:type="lines" w:linePitch="312" w:charSpace="0"/>
        </w:sectPr>
      </w:pPr>
      <w:r>
        <w:rPr>
          <w:rFonts w:ascii="仿宋" w:hAnsi="仿宋" w:eastAsia="仿宋"/>
          <w:b/>
          <w:color w:val="FF0000"/>
          <w:sz w:val="36"/>
          <w:szCs w:val="36"/>
        </w:rPr>
        <w:br w:type="page"/>
      </w:r>
    </w:p>
    <w:p>
      <w:pPr>
        <w:rPr>
          <w:rFonts w:ascii="仿宋" w:hAnsi="仿宋" w:eastAsia="仿宋"/>
          <w:b/>
          <w:color w:val="FF0000"/>
          <w:sz w:val="36"/>
          <w:szCs w:val="36"/>
        </w:rPr>
      </w:pPr>
    </w:p>
    <w:p>
      <w:pPr>
        <w:spacing w:line="1000" w:lineRule="exact"/>
        <w:jc w:val="center"/>
        <w:rPr>
          <w:rFonts w:ascii="仿宋" w:hAnsi="仿宋" w:eastAsia="仿宋"/>
          <w:b/>
          <w:sz w:val="72"/>
          <w:szCs w:val="72"/>
        </w:rPr>
      </w:pPr>
    </w:p>
    <w:p>
      <w:pPr>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color w:val="auto"/>
          <w:lang w:eastAsia="zh-CN"/>
        </w:rPr>
        <w:drawing>
          <wp:inline distT="0" distB="0" distL="114300" distR="114300">
            <wp:extent cx="672465" cy="672465"/>
            <wp:effectExtent l="0" t="0" r="0" b="0"/>
            <wp:docPr id="45" name="图片 45"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校徽透明背景"/>
                    <pic:cNvPicPr>
                      <a:picLocks noChangeAspect="1"/>
                    </pic:cNvPicPr>
                  </pic:nvPicPr>
                  <pic:blipFill>
                    <a:blip r:embed="rId11"/>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0160" b="15875"/>
            <wp:docPr id="46" name="图片 46"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校名透明背景png"/>
                    <pic:cNvPicPr>
                      <a:picLocks noChangeAspect="1"/>
                    </pic:cNvPicPr>
                  </pic:nvPicPr>
                  <pic:blipFill>
                    <a:blip r:embed="rId12"/>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color w:val="FF0000"/>
          <w:sz w:val="44"/>
          <w:szCs w:val="44"/>
        </w:rPr>
        <w:t>X</w:t>
      </w:r>
      <w:r>
        <w:rPr>
          <w:rFonts w:ascii="仿宋" w:hAnsi="仿宋" w:eastAsia="仿宋"/>
          <w:b/>
          <w:color w:val="FF0000"/>
          <w:sz w:val="44"/>
          <w:szCs w:val="44"/>
        </w:rPr>
        <w:t>XX</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sz w:val="24"/>
          <w:szCs w:val="24"/>
        </w:rPr>
      </w:pPr>
      <w:bookmarkStart w:id="47" w:name="_Toc160880529"/>
      <w:bookmarkStart w:id="48" w:name="_Toc169332838"/>
      <w:bookmarkStart w:id="49" w:name="_Toc160880160"/>
      <w:bookmarkStart w:id="50" w:name="_Toc177985469"/>
      <w:bookmarkStart w:id="51" w:name="_Toc169332949"/>
      <w:bookmarkStart w:id="52" w:name="_Toc170798793"/>
      <w:bookmarkStart w:id="53" w:name="_Toc180302913"/>
      <w:bookmarkStart w:id="54" w:name="_Toc181436461"/>
      <w:bookmarkStart w:id="55" w:name="_Toc181436565"/>
      <w:bookmarkStart w:id="56" w:name="_Toc182372782"/>
      <w:bookmarkStart w:id="57" w:name="_Toc182805217"/>
      <w:bookmarkStart w:id="58" w:name="_Toc191783222"/>
      <w:bookmarkStart w:id="59" w:name="_Toc191789329"/>
      <w:bookmarkStart w:id="60" w:name="_Toc191802690"/>
      <w:bookmarkStart w:id="61" w:name="_Toc191803626"/>
      <w:bookmarkStart w:id="62" w:name="_Toc192663835"/>
      <w:bookmarkStart w:id="63" w:name="_Toc192996338"/>
      <w:bookmarkStart w:id="64" w:name="_Toc192664153"/>
      <w:bookmarkStart w:id="65" w:name="_Toc192663686"/>
      <w:bookmarkStart w:id="66" w:name="_Toc192996446"/>
      <w:bookmarkStart w:id="67" w:name="_Toc193160448"/>
      <w:bookmarkStart w:id="68" w:name="_Toc193165734"/>
      <w:bookmarkStart w:id="69" w:name="_Toc203355733"/>
      <w:bookmarkStart w:id="70" w:name="_Toc211917116"/>
      <w:bookmarkStart w:id="71" w:name="_Toc213208766"/>
      <w:bookmarkStart w:id="72" w:name="_Toc213755858"/>
      <w:bookmarkStart w:id="73" w:name="_Toc213755939"/>
      <w:bookmarkStart w:id="74" w:name="_Toc213755995"/>
      <w:bookmarkStart w:id="75" w:name="_Toc217891402"/>
      <w:bookmarkStart w:id="76" w:name="_Toc223146608"/>
      <w:bookmarkStart w:id="77" w:name="_Toc219800243"/>
      <w:bookmarkStart w:id="78" w:name="_Toc213756051"/>
      <w:bookmarkStart w:id="79" w:name="_Toc225669322"/>
      <w:bookmarkStart w:id="80" w:name="_Toc227058530"/>
      <w:bookmarkStart w:id="81" w:name="_Toc230071147"/>
      <w:bookmarkStart w:id="82" w:name="_Toc232302115"/>
      <w:bookmarkStart w:id="83" w:name="_Toc235437991"/>
      <w:bookmarkStart w:id="84" w:name="_Toc235438274"/>
      <w:bookmarkStart w:id="85" w:name="_Toc235438344"/>
      <w:bookmarkStart w:id="86" w:name="_Toc236021449"/>
      <w:bookmarkStart w:id="87" w:name="_Toc249325711"/>
      <w:bookmarkStart w:id="88" w:name="_Toc251586231"/>
      <w:bookmarkStart w:id="89" w:name="_Toc255975007"/>
      <w:bookmarkStart w:id="90" w:name="_Toc251613829"/>
      <w:bookmarkStart w:id="91" w:name="_Toc254790899"/>
      <w:bookmarkStart w:id="92" w:name="_Toc253066614"/>
      <w:bookmarkStart w:id="93" w:name="_Toc258401256"/>
      <w:bookmarkStart w:id="94" w:name="_Toc259520865"/>
      <w:bookmarkStart w:id="95" w:name="_Toc259692647"/>
      <w:bookmarkStart w:id="96" w:name="_Toc259692740"/>
      <w:bookmarkStart w:id="97" w:name="_Toc266868670"/>
      <w:bookmarkStart w:id="98" w:name="_Toc266868937"/>
      <w:bookmarkStart w:id="99" w:name="_Toc266870432"/>
      <w:bookmarkStart w:id="100" w:name="_Toc266870833"/>
      <w:bookmarkStart w:id="101" w:name="_Toc266870907"/>
      <w:bookmarkStart w:id="102" w:name="_Toc267059030"/>
      <w:bookmarkStart w:id="103" w:name="_Toc267059181"/>
      <w:bookmarkStart w:id="104" w:name="_Toc267059919"/>
      <w:bookmarkStart w:id="105" w:name="_Toc267059539"/>
      <w:bookmarkStart w:id="106" w:name="_Toc267059806"/>
      <w:bookmarkStart w:id="107" w:name="_Toc267059653"/>
      <w:bookmarkStart w:id="108" w:name="_Toc267060068"/>
      <w:bookmarkStart w:id="109" w:name="_Toc267060208"/>
      <w:bookmarkStart w:id="110" w:name="_Toc267060321"/>
      <w:bookmarkStart w:id="111" w:name="_Toc267060453"/>
      <w:bookmarkStart w:id="112" w:name="_Toc273178698"/>
      <w:r>
        <w:rPr>
          <w:rFonts w:hint="eastAsia" w:ascii="仿宋" w:hAnsi="仿宋" w:eastAsia="仿宋"/>
          <w:b/>
          <w:bCs/>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sz w:val="24"/>
          <w:szCs w:val="24"/>
        </w:rPr>
        <w:t xml:space="preserve">    根据贵学校编号为</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w:t>
      </w:r>
      <w:r>
        <w:rPr>
          <w:rFonts w:hint="eastAsia" w:ascii="仿宋" w:hAnsi="仿宋" w:eastAsia="仿宋"/>
          <w:sz w:val="24"/>
          <w:szCs w:val="24"/>
          <w:u w:val="none"/>
        </w:rPr>
        <w:t>）</w:t>
      </w:r>
      <w:r>
        <w:rPr>
          <w:rFonts w:hint="eastAsia" w:ascii="仿宋" w:hAnsi="仿宋" w:eastAsia="仿宋"/>
          <w:sz w:val="24"/>
          <w:szCs w:val="24"/>
          <w:u w:val="single"/>
          <w:lang w:val="en-US" w:eastAsia="zh-CN"/>
        </w:rPr>
        <w:t xml:space="preserve">         </w:t>
      </w:r>
      <w:r>
        <w:rPr>
          <w:rFonts w:hint="eastAsia" w:ascii="仿宋" w:hAnsi="仿宋" w:eastAsia="仿宋"/>
          <w:sz w:val="24"/>
          <w:szCs w:val="24"/>
        </w:rPr>
        <w:t>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r>
        <w:rPr>
          <w:rFonts w:hint="eastAsia" w:ascii="仿宋" w:hAnsi="仿宋" w:eastAsia="仿宋"/>
          <w:sz w:val="24"/>
          <w:szCs w:val="24"/>
          <w:lang w:eastAsia="zh-CN"/>
        </w:rPr>
        <w:t>（</w:t>
      </w:r>
      <w:r>
        <w:rPr>
          <w:rFonts w:hint="eastAsia" w:ascii="仿宋" w:hAnsi="仿宋" w:eastAsia="仿宋"/>
          <w:sz w:val="24"/>
          <w:szCs w:val="24"/>
        </w:rPr>
        <w:t>正本</w:t>
      </w:r>
      <w:r>
        <w:rPr>
          <w:rFonts w:hint="eastAsia" w:ascii="仿宋" w:hAnsi="仿宋" w:eastAsia="仿宋"/>
          <w:sz w:val="24"/>
          <w:szCs w:val="24"/>
          <w:lang w:val="en-US" w:eastAsia="zh-CN"/>
        </w:rPr>
        <w:t>壹</w:t>
      </w:r>
      <w:r>
        <w:rPr>
          <w:rFonts w:hint="eastAsia" w:ascii="仿宋" w:hAnsi="仿宋" w:eastAsia="仿宋"/>
          <w:sz w:val="24"/>
          <w:szCs w:val="24"/>
        </w:rPr>
        <w:t>份和副本</w:t>
      </w:r>
      <w:r>
        <w:rPr>
          <w:rFonts w:hint="eastAsia" w:ascii="仿宋" w:hAnsi="仿宋" w:eastAsia="仿宋"/>
          <w:sz w:val="24"/>
          <w:szCs w:val="24"/>
          <w:lang w:val="en-US" w:eastAsia="zh-CN"/>
        </w:rPr>
        <w:t>壹</w:t>
      </w:r>
      <w:r>
        <w:rPr>
          <w:rFonts w:hint="eastAsia" w:ascii="仿宋" w:hAnsi="仿宋" w:eastAsia="仿宋"/>
          <w:sz w:val="24"/>
          <w:szCs w:val="24"/>
        </w:rPr>
        <w:t>份</w:t>
      </w:r>
      <w:r>
        <w:rPr>
          <w:rFonts w:hint="eastAsia" w:ascii="仿宋" w:hAnsi="仿宋" w:eastAsia="仿宋"/>
          <w:sz w:val="24"/>
          <w:szCs w:val="24"/>
          <w:lang w:eastAsia="zh-CN"/>
        </w:rPr>
        <w:t>）</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hint="eastAsia"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hint="eastAsia" w:ascii="仿宋" w:hAnsi="仿宋" w:eastAsia="仿宋"/>
          <w:sz w:val="24"/>
          <w:szCs w:val="24"/>
        </w:rPr>
      </w:pPr>
      <w:r>
        <w:rPr>
          <w:rFonts w:hint="eastAsia" w:ascii="仿宋" w:hAnsi="仿宋" w:eastAsia="仿宋"/>
          <w:sz w:val="24"/>
          <w:szCs w:val="24"/>
        </w:rPr>
        <w:t>(3) 质保期和售后服务承诺书</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sz w:val="24"/>
          <w:szCs w:val="24"/>
        </w:rPr>
      </w:pPr>
      <w:r>
        <w:rPr>
          <w:rFonts w:hint="eastAsia" w:ascii="仿宋" w:hAnsi="仿宋" w:eastAsia="仿宋"/>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sz w:val="24"/>
          <w:szCs w:val="24"/>
        </w:rPr>
      </w:pPr>
      <w:r>
        <w:rPr>
          <w:rFonts w:hint="eastAsia" w:ascii="仿宋" w:hAnsi="仿宋" w:eastAsia="仿宋"/>
          <w:sz w:val="24"/>
          <w:szCs w:val="24"/>
        </w:rPr>
        <w:t xml:space="preserve">    4.同意按公开询价文件的规定履行合同责任和义务。</w:t>
      </w:r>
    </w:p>
    <w:p>
      <w:pPr>
        <w:spacing w:after="0" w:line="480" w:lineRule="exact"/>
        <w:ind w:firstLine="480" w:firstLineChars="200"/>
        <w:rPr>
          <w:rFonts w:ascii="仿宋" w:hAnsi="仿宋" w:eastAsia="仿宋"/>
          <w:sz w:val="24"/>
          <w:szCs w:val="24"/>
        </w:rPr>
      </w:pPr>
      <w:r>
        <w:rPr>
          <w:rFonts w:ascii="仿宋" w:hAnsi="仿宋" w:eastAsia="仿宋"/>
          <w:sz w:val="24"/>
          <w:szCs w:val="24"/>
        </w:rPr>
        <w:t>5</w:t>
      </w:r>
      <w:r>
        <w:rPr>
          <w:rFonts w:hint="eastAsia" w:ascii="仿宋" w:hAnsi="仿宋" w:eastAsia="仿宋"/>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hint="eastAsia" w:ascii="仿宋" w:hAnsi="仿宋" w:eastAsia="仿宋"/>
          <w:b/>
          <w:bCs/>
          <w:sz w:val="24"/>
          <w:szCs w:val="24"/>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spacing w:after="0" w:line="480" w:lineRule="exact"/>
        <w:ind w:left="284" w:leftChars="129" w:firstLine="242" w:firstLineChars="101"/>
        <w:rPr>
          <w:rFonts w:hint="default" w:eastAsia="仿宋"/>
          <w:lang w:val="en-US" w:eastAsia="zh-CN"/>
        </w:rPr>
      </w:pPr>
      <w:r>
        <w:rPr>
          <w:rFonts w:hint="eastAsia" w:ascii="仿宋" w:hAnsi="仿宋" w:eastAsia="仿宋" w:cstheme="minorBidi"/>
          <w:sz w:val="24"/>
          <w:szCs w:val="24"/>
          <w:lang w:val="en-US" w:eastAsia="zh-CN" w:bidi="ar-SA"/>
        </w:rPr>
        <w:t>邮   箱：</w:t>
      </w:r>
      <w:r>
        <w:rPr>
          <w:rFonts w:hint="eastAsia" w:ascii="仿宋" w:hAnsi="仿宋" w:eastAsia="仿宋"/>
          <w:b/>
          <w:bCs/>
          <w:sz w:val="24"/>
          <w:szCs w:val="24"/>
          <w:u w:val="single"/>
          <w:lang w:val="en-US" w:eastAsia="zh-CN"/>
        </w:rPr>
        <w:t xml:space="preserve">                   </w:t>
      </w:r>
    </w:p>
    <w:p>
      <w:pPr>
        <w:pStyle w:val="57"/>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 xml:space="preserve">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24"/>
        <w:tblW w:w="9206" w:type="dxa"/>
        <w:tblInd w:w="0" w:type="dxa"/>
        <w:shd w:val="clear" w:color="auto" w:fill="auto"/>
        <w:tblLayout w:type="autofit"/>
        <w:tblCellMar>
          <w:top w:w="0" w:type="dxa"/>
          <w:left w:w="0" w:type="dxa"/>
          <w:bottom w:w="0" w:type="dxa"/>
          <w:right w:w="0" w:type="dxa"/>
        </w:tblCellMar>
      </w:tblPr>
      <w:tblGrid>
        <w:gridCol w:w="327"/>
        <w:gridCol w:w="1739"/>
        <w:gridCol w:w="645"/>
        <w:gridCol w:w="1185"/>
        <w:gridCol w:w="1185"/>
        <w:gridCol w:w="1740"/>
        <w:gridCol w:w="2385"/>
      </w:tblGrid>
      <w:tr>
        <w:tblPrEx>
          <w:shd w:val="clear" w:color="auto" w:fill="auto"/>
          <w:tblCellMar>
            <w:top w:w="0" w:type="dxa"/>
            <w:left w:w="0" w:type="dxa"/>
            <w:bottom w:w="0" w:type="dxa"/>
            <w:right w:w="0" w:type="dxa"/>
          </w:tblCellMar>
        </w:tblPrEx>
        <w:trPr>
          <w:trHeight w:val="1152" w:hRule="atLeast"/>
        </w:trPr>
        <w:tc>
          <w:tcPr>
            <w:tcW w:w="327" w:type="dxa"/>
            <w:tcBorders>
              <w:top w:val="single" w:color="auto" w:sz="4" w:space="0"/>
              <w:left w:val="single" w:color="auto"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1739"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维修项目</w:t>
            </w:r>
          </w:p>
        </w:tc>
        <w:tc>
          <w:tcPr>
            <w:tcW w:w="64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数量</w:t>
            </w:r>
          </w:p>
        </w:tc>
        <w:tc>
          <w:tcPr>
            <w:tcW w:w="118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维修费用单价</w:t>
            </w:r>
          </w:p>
        </w:tc>
        <w:tc>
          <w:tcPr>
            <w:tcW w:w="1185"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维修费用总价</w:t>
            </w:r>
          </w:p>
        </w:tc>
        <w:tc>
          <w:tcPr>
            <w:tcW w:w="1740" w:type="dxa"/>
            <w:tcBorders>
              <w:top w:val="single" w:color="auto" w:sz="4" w:space="0"/>
              <w:left w:val="single" w:color="000000" w:sz="4" w:space="0"/>
              <w:bottom w:val="single" w:color="auto"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质保期</w:t>
            </w:r>
          </w:p>
        </w:tc>
        <w:tc>
          <w:tcPr>
            <w:tcW w:w="2385" w:type="dxa"/>
            <w:tcBorders>
              <w:top w:val="single" w:color="auto" w:sz="4" w:space="0"/>
              <w:left w:val="single" w:color="000000" w:sz="4" w:space="0"/>
              <w:bottom w:val="single" w:color="auto" w:sz="4" w:space="0"/>
              <w:right w:val="single" w:color="auto"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2"/>
                <w:szCs w:val="22"/>
                <w:u w:val="none"/>
                <w:lang w:val="en-US" w:eastAsia="zh-CN" w:bidi="ar"/>
              </w:rPr>
            </w:pPr>
            <w:r>
              <w:rPr>
                <w:rFonts w:hint="eastAsia" w:ascii="宋体" w:hAnsi="宋体" w:cs="宋体"/>
                <w:b/>
                <w:i w:val="0"/>
                <w:color w:val="000000"/>
                <w:kern w:val="0"/>
                <w:sz w:val="22"/>
                <w:szCs w:val="22"/>
                <w:u w:val="none"/>
                <w:lang w:val="en-US" w:eastAsia="zh-CN" w:bidi="ar"/>
              </w:rPr>
              <w:t>备注</w:t>
            </w:r>
          </w:p>
        </w:tc>
      </w:tr>
      <w:tr>
        <w:tblPrEx>
          <w:tblCellMar>
            <w:top w:w="0" w:type="dxa"/>
            <w:left w:w="0" w:type="dxa"/>
            <w:bottom w:w="0" w:type="dxa"/>
            <w:right w:w="0" w:type="dxa"/>
          </w:tblCellMar>
        </w:tblPrEx>
        <w:trPr>
          <w:trHeight w:val="288" w:hRule="atLeast"/>
        </w:trPr>
        <w:tc>
          <w:tcPr>
            <w:tcW w:w="327"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w:t>
            </w:r>
          </w:p>
        </w:tc>
        <w:tc>
          <w:tcPr>
            <w:tcW w:w="1739"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保养发动机</w:t>
            </w:r>
          </w:p>
        </w:tc>
        <w:tc>
          <w:tcPr>
            <w:tcW w:w="64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auto"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保养四轮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更换缸床垫</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rPr>
            </w:pP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发动机四配套</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四缸机（不包含台发动机）</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发动机四配套</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六缸机（不包含台发动机）</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更换喷油器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调气门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更换水泵总成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不包含拆装水箱及中冷器</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拆装中冷器总成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后置发动机（前置加100）</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拆装水箱散热器总成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后置发动机（前置加100）</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更换油门拉线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更换档位拉线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更换离合器摩擦片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不含缓速器前置加100</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拆装离合器总泵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拆装离合器分泵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更换离合器摩擦片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包含缓速器前置加100</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更换二轴的各档齿轮及轴承</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不包含吊装变速箱</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更换中间轴各档齿轮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不包含吊装变速箱</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更换变速箱后油封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不带缓速器车辆</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拆装传动轴总成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单根</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拆装后桥总成（钢板悬架）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拆装后桥总成（气囊悬架）</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拆装主减速器总成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更换差速器油封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拆装气囊</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拆装前钢板弹簧总成（单边）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拆装后钢板弹簧总成（单边）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拆装前钢板弹簧单片（单边）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拆装后钢板弹簧单片（单边）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更换前桥总成</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更换转向节单边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 </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轮胎平衡（条）</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更换方向机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更换拉杆球头</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调整前束</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前轮定位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包含检查倾角</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四轮定位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不包含三桥车</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第三桥定位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更换前制动鼓（单轮）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拆装制动钳（单轮）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更换前制动盘（单轮）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更换刹车片（单轮）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不包含拆装车轮，拆装制动蹄</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更换刹车分泵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单轮</w:t>
            </w:r>
          </w:p>
        </w:tc>
      </w:tr>
      <w:tr>
        <w:tblPrEx>
          <w:tblCellMar>
            <w:top w:w="0" w:type="dxa"/>
            <w:left w:w="0" w:type="dxa"/>
            <w:bottom w:w="0" w:type="dxa"/>
            <w:right w:w="0" w:type="dxa"/>
          </w:tblCellMar>
        </w:tblPrEx>
        <w:trPr>
          <w:trHeight w:val="48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更换制动总泵（气制动）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单独卯刹车片（每副）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更换起动机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更换发电机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拆装电涡流缓速器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49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更换缓速器定子线圈单个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不包含拆装电涡流缓速器</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更换车轮传感器单个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不包含拆装车轮</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打黄油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包括材料</w:t>
            </w:r>
          </w:p>
        </w:tc>
      </w:tr>
      <w:tr>
        <w:tblPrEx>
          <w:tblCellMar>
            <w:top w:w="0" w:type="dxa"/>
            <w:left w:w="0" w:type="dxa"/>
            <w:bottom w:w="0" w:type="dxa"/>
            <w:right w:w="0" w:type="dxa"/>
          </w:tblCellMar>
        </w:tblPrEx>
        <w:trPr>
          <w:trHeight w:val="576"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检查线路（单个部位）</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各种传感器线束小修</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更换门泵修理包单个</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电脑检测发动机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更换边仓门锁</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更换齿轮油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检查更换一样</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更换转向助力泵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更换干燥器总称</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59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更换调整臂</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 xml:space="preserve">不包含拆装车轮 </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更换减震器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拆装火花塞</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单个</w:t>
            </w:r>
          </w:p>
        </w:tc>
      </w:tr>
      <w:tr>
        <w:tblPrEx>
          <w:tblCellMar>
            <w:top w:w="0" w:type="dxa"/>
            <w:left w:w="0" w:type="dxa"/>
            <w:bottom w:w="0" w:type="dxa"/>
            <w:right w:w="0" w:type="dxa"/>
          </w:tblCellMar>
        </w:tblPrEx>
        <w:trPr>
          <w:trHeight w:val="344"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拆装飞轮</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63</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集中润滑注油</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64</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更换车身顶灯</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包含打密封胶</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65</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电子继电器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66</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保险片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67</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雨刮器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68</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车用尿素</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10L</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69</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防冻液</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10L</w:t>
            </w: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70</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保养发电机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lang w:val="en-US" w:eastAsia="zh-CN"/>
              </w:rPr>
            </w:pPr>
            <w:r>
              <w:rPr>
                <w:rFonts w:hint="eastAsia" w:ascii="宋体" w:hAnsi="宋体" w:cs="宋体"/>
                <w:i w:val="0"/>
                <w:color w:val="000000"/>
                <w:sz w:val="20"/>
                <w:szCs w:val="20"/>
                <w:u w:val="none"/>
                <w:lang w:val="en-US" w:eastAsia="zh-CN"/>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90"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71</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保养起动机</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r>
        <w:tblPrEx>
          <w:tblCellMar>
            <w:top w:w="0" w:type="dxa"/>
            <w:left w:w="0" w:type="dxa"/>
            <w:bottom w:w="0" w:type="dxa"/>
            <w:right w:w="0" w:type="dxa"/>
          </w:tblCellMar>
        </w:tblPrEx>
        <w:trPr>
          <w:trHeight w:val="288" w:hRule="atLeast"/>
        </w:trPr>
        <w:tc>
          <w:tcPr>
            <w:tcW w:w="32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default" w:ascii="宋体" w:hAnsi="宋体" w:eastAsia="宋体" w:cs="宋体"/>
                <w:b/>
                <w:i w:val="0"/>
                <w:color w:val="000000"/>
                <w:sz w:val="20"/>
                <w:szCs w:val="20"/>
                <w:u w:val="none"/>
                <w:lang w:val="en-US" w:eastAsia="zh-CN"/>
              </w:rPr>
            </w:pPr>
            <w:r>
              <w:rPr>
                <w:rFonts w:hint="eastAsia" w:ascii="宋体" w:hAnsi="宋体" w:cs="宋体"/>
                <w:b/>
                <w:i w:val="0"/>
                <w:color w:val="000000"/>
                <w:sz w:val="20"/>
                <w:szCs w:val="20"/>
                <w:u w:val="none"/>
                <w:lang w:val="en-US" w:eastAsia="zh-CN"/>
              </w:rPr>
              <w:t>72</w:t>
            </w:r>
          </w:p>
        </w:tc>
        <w:tc>
          <w:tcPr>
            <w:tcW w:w="173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i w:val="0"/>
                <w:color w:val="000000"/>
                <w:sz w:val="20"/>
                <w:szCs w:val="20"/>
                <w:u w:val="none"/>
                <w:lang w:eastAsia="zh-CN"/>
              </w:rPr>
            </w:pPr>
            <w:r>
              <w:rPr>
                <w:rFonts w:hint="eastAsia" w:ascii="宋体" w:hAnsi="宋体" w:cs="宋体"/>
                <w:i w:val="0"/>
                <w:color w:val="000000"/>
                <w:sz w:val="20"/>
                <w:szCs w:val="20"/>
                <w:u w:val="none"/>
                <w:lang w:eastAsia="zh-CN"/>
              </w:rPr>
              <w:t>修补轮胎</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cs="宋体"/>
                <w:i w:val="0"/>
                <w:color w:val="000000"/>
                <w:kern w:val="0"/>
                <w:sz w:val="20"/>
                <w:szCs w:val="20"/>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c>
          <w:tcPr>
            <w:tcW w:w="2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160880534"/>
      <w:bookmarkStart w:id="114" w:name="_Toc169332843"/>
      <w:bookmarkStart w:id="115" w:name="_Toc169332954"/>
      <w:bookmarkStart w:id="116" w:name="_Toc170798798"/>
      <w:bookmarkStart w:id="117" w:name="_Toc177985474"/>
      <w:bookmarkStart w:id="118" w:name="_Toc251613839"/>
      <w:bookmarkStart w:id="119" w:name="_Toc180302918"/>
      <w:bookmarkStart w:id="120" w:name="_Toc181436466"/>
      <w:bookmarkStart w:id="121" w:name="_Toc181436570"/>
      <w:bookmarkStart w:id="122" w:name="_Toc182372787"/>
      <w:bookmarkStart w:id="123" w:name="_Toc182805222"/>
      <w:bookmarkStart w:id="124" w:name="_Toc191783227"/>
      <w:bookmarkStart w:id="125" w:name="_Toc191789334"/>
      <w:bookmarkStart w:id="126" w:name="_Toc191802695"/>
      <w:bookmarkStart w:id="127" w:name="_Toc191803631"/>
      <w:bookmarkStart w:id="128" w:name="_Toc192663691"/>
      <w:bookmarkStart w:id="129" w:name="_Toc192663840"/>
      <w:bookmarkStart w:id="130" w:name="_Toc192664158"/>
      <w:bookmarkStart w:id="131" w:name="_Toc192996343"/>
      <w:bookmarkStart w:id="132" w:name="_Toc253066624"/>
      <w:bookmarkStart w:id="133" w:name="_Toc192996451"/>
      <w:bookmarkStart w:id="134" w:name="_Toc193160453"/>
      <w:bookmarkStart w:id="135" w:name="_Toc193165739"/>
      <w:bookmarkStart w:id="136" w:name="_Toc203355738"/>
      <w:bookmarkStart w:id="137" w:name="_Toc211917121"/>
      <w:bookmarkStart w:id="138" w:name="_Toc213755864"/>
      <w:bookmarkStart w:id="139" w:name="_Toc213755945"/>
      <w:bookmarkStart w:id="140" w:name="_Toc213756001"/>
      <w:bookmarkStart w:id="141" w:name="_Toc213756057"/>
      <w:bookmarkStart w:id="142" w:name="_Toc217891408"/>
      <w:bookmarkStart w:id="143" w:name="_Toc219800249"/>
      <w:bookmarkStart w:id="144" w:name="_Toc223146614"/>
      <w:bookmarkStart w:id="145" w:name="_Toc225669328"/>
      <w:bookmarkStart w:id="146" w:name="_Toc227058536"/>
      <w:bookmarkStart w:id="147" w:name="_Toc230071153"/>
      <w:bookmarkStart w:id="148" w:name="_Toc232302122"/>
      <w:bookmarkStart w:id="149" w:name="_Toc235437998"/>
      <w:bookmarkStart w:id="150" w:name="_Toc235438281"/>
      <w:bookmarkStart w:id="151" w:name="_Toc235438352"/>
      <w:bookmarkStart w:id="152" w:name="_Toc236021457"/>
      <w:bookmarkStart w:id="153" w:name="_Toc160880165"/>
      <w:bookmarkStart w:id="154" w:name="_Toc213208771"/>
      <w:bookmarkStart w:id="155" w:name="_Toc249325720"/>
      <w:bookmarkStart w:id="156" w:name="_Toc251586241"/>
      <w:bookmarkStart w:id="157" w:name="_Toc254790909"/>
      <w:bookmarkStart w:id="158" w:name="_Toc255975016"/>
      <w:bookmarkStart w:id="159" w:name="_Toc258401265"/>
      <w:bookmarkStart w:id="160" w:name="_Toc259520874"/>
      <w:bookmarkStart w:id="161" w:name="_Toc259692656"/>
      <w:bookmarkStart w:id="162" w:name="_Toc259692749"/>
      <w:bookmarkStart w:id="163" w:name="_Toc266868679"/>
      <w:bookmarkStart w:id="164" w:name="_Toc266868943"/>
      <w:bookmarkStart w:id="165" w:name="_Toc266870441"/>
      <w:bookmarkStart w:id="166" w:name="_Toc266870839"/>
      <w:bookmarkStart w:id="167" w:name="_Toc266870916"/>
      <w:bookmarkStart w:id="168" w:name="_Toc267059035"/>
      <w:bookmarkStart w:id="169" w:name="_Toc267059186"/>
      <w:bookmarkStart w:id="170" w:name="_Toc267059544"/>
      <w:bookmarkStart w:id="171" w:name="_Toc267059658"/>
      <w:bookmarkStart w:id="172" w:name="_Toc267059811"/>
      <w:bookmarkStart w:id="173" w:name="_Toc267059924"/>
      <w:bookmarkStart w:id="174" w:name="_Toc267060076"/>
      <w:bookmarkStart w:id="175" w:name="_Toc267060216"/>
      <w:bookmarkStart w:id="176" w:name="_Toc267060326"/>
      <w:bookmarkStart w:id="177" w:name="_Toc267060461"/>
      <w:bookmarkStart w:id="178" w:name="_Toc273178703"/>
    </w:p>
    <w:p>
      <w:pPr>
        <w:jc w:val="center"/>
        <w:outlineLvl w:val="1"/>
        <w:rPr>
          <w:rFonts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r>
        <w:rPr>
          <w:rFonts w:hint="eastAsia" w:ascii="仿宋" w:hAnsi="仿宋" w:eastAsia="仿宋"/>
          <w:b/>
          <w:bCs/>
          <w:sz w:val="24"/>
          <w:szCs w:val="24"/>
        </w:rPr>
        <w:t>参与人资质材料</w:t>
      </w:r>
    </w:p>
    <w:p>
      <w:pPr>
        <w:pStyle w:val="40"/>
        <w:rPr>
          <w:sz w:val="24"/>
          <w:szCs w:val="24"/>
        </w:rPr>
      </w:pPr>
    </w:p>
    <w:p>
      <w:pPr>
        <w:spacing w:after="0" w:line="500" w:lineRule="exact"/>
        <w:rPr>
          <w:rFonts w:ascii="仿宋" w:hAnsi="仿宋" w:eastAsia="仿宋"/>
          <w:sz w:val="24"/>
          <w:szCs w:val="24"/>
        </w:rPr>
      </w:pPr>
      <w:r>
        <w:rPr>
          <w:rFonts w:hint="eastAsia" w:ascii="仿宋" w:hAnsi="仿宋" w:eastAsia="仿宋"/>
          <w:sz w:val="24"/>
          <w:szCs w:val="24"/>
        </w:rPr>
        <w:t>参与人需要提供以下材料：</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营业执照复印件</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授权经销商或代理商证明材料复印件</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质保期和售后服务承诺书（参与人自行起草）</w:t>
      </w:r>
    </w:p>
    <w:p>
      <w:pPr>
        <w:spacing w:line="380" w:lineRule="exact"/>
        <w:rPr>
          <w:rFonts w:ascii="仿宋" w:hAnsi="仿宋" w:eastAsia="仿宋"/>
          <w:sz w:val="24"/>
          <w:szCs w:val="24"/>
        </w:rPr>
      </w:pPr>
    </w:p>
    <w:p>
      <w:pPr>
        <w:spacing w:line="380" w:lineRule="exact"/>
        <w:rPr>
          <w:rFonts w:ascii="仿宋" w:hAnsi="仿宋" w:eastAsia="仿宋"/>
          <w:b/>
          <w:bCs/>
          <w:sz w:val="24"/>
          <w:szCs w:val="24"/>
        </w:rPr>
      </w:pPr>
      <w:r>
        <w:rPr>
          <w:rFonts w:hint="eastAsia" w:ascii="仿宋" w:hAnsi="仿宋" w:eastAsia="仿宋"/>
          <w:b/>
          <w:bCs/>
          <w:sz w:val="24"/>
          <w:szCs w:val="24"/>
        </w:rPr>
        <w:t>以上材料复印件须加盖参与人公司公章，并与报价一览表一同密封</w:t>
      </w: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jc w:val="center"/>
        <w:outlineLvl w:val="1"/>
      </w:pPr>
      <w:r>
        <w:rPr>
          <w:rFonts w:hint="eastAsia" w:ascii="仿宋" w:hAnsi="仿宋" w:eastAsia="仿宋"/>
          <w:b/>
          <w:bCs/>
          <w:sz w:val="24"/>
          <w:szCs w:val="24"/>
          <w:lang w:val="en-US" w:eastAsia="zh-CN"/>
        </w:rPr>
        <w:t>4、资格审查表</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pStyle w:val="2"/>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tabs>
        <w:tab w:val="center" w:pos="4737"/>
        <w:tab w:val="left" w:pos="5248"/>
        <w:tab w:val="left" w:pos="7558"/>
      </w:tabs>
      <w:jc w:val="center"/>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tabs>
        <w:tab w:val="center" w:pos="4737"/>
        <w:tab w:val="left" w:pos="5248"/>
        <w:tab w:val="left" w:pos="7558"/>
      </w:tabs>
      <w:jc w:val="center"/>
    </w:pP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6">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5"/>
  </w:num>
  <w:num w:numId="5">
    <w:abstractNumId w:val="2"/>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1CD10B0"/>
    <w:rsid w:val="28425380"/>
    <w:rsid w:val="353A5F8C"/>
    <w:rsid w:val="363D2442"/>
    <w:rsid w:val="43DA7914"/>
    <w:rsid w:val="45E91020"/>
    <w:rsid w:val="47E80418"/>
    <w:rsid w:val="56F670B0"/>
    <w:rsid w:val="57D80427"/>
    <w:rsid w:val="58176E3F"/>
    <w:rsid w:val="586966F6"/>
    <w:rsid w:val="607D036C"/>
    <w:rsid w:val="64131656"/>
    <w:rsid w:val="6D9E74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4">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5">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6">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7">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8">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9">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10">
    <w:name w:val="heading 7"/>
    <w:basedOn w:val="1"/>
    <w:next w:val="1"/>
    <w:link w:val="35"/>
    <w:semiHidden/>
    <w:unhideWhenUsed/>
    <w:qFormat/>
    <w:uiPriority w:val="9"/>
    <w:pPr>
      <w:keepNext/>
      <w:keepLines/>
      <w:spacing w:before="120" w:after="0"/>
      <w:outlineLvl w:val="6"/>
    </w:pPr>
    <w:rPr>
      <w:i/>
      <w:iCs/>
    </w:rPr>
  </w:style>
  <w:style w:type="paragraph" w:styleId="11">
    <w:name w:val="heading 8"/>
    <w:basedOn w:val="1"/>
    <w:next w:val="1"/>
    <w:link w:val="36"/>
    <w:semiHidden/>
    <w:unhideWhenUsed/>
    <w:qFormat/>
    <w:uiPriority w:val="9"/>
    <w:pPr>
      <w:keepNext/>
      <w:keepLines/>
      <w:spacing w:before="120" w:after="0"/>
      <w:outlineLvl w:val="7"/>
    </w:pPr>
    <w:rPr>
      <w:b/>
      <w:bCs/>
    </w:rPr>
  </w:style>
  <w:style w:type="paragraph" w:styleId="12">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99"/>
    <w:pPr>
      <w:spacing w:after="120" w:line="240" w:lineRule="auto"/>
      <w:ind w:firstLine="420" w:firstLineChars="100"/>
    </w:pPr>
    <w:rPr>
      <w:sz w:val="21"/>
    </w:rPr>
  </w:style>
  <w:style w:type="paragraph" w:styleId="3">
    <w:name w:val="Body Text"/>
    <w:basedOn w:val="1"/>
    <w:link w:val="59"/>
    <w:semiHidden/>
    <w:unhideWhenUsed/>
    <w:qFormat/>
    <w:uiPriority w:val="99"/>
    <w:pPr>
      <w:spacing w:after="120"/>
    </w:pPr>
  </w:style>
  <w:style w:type="paragraph" w:styleId="13">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4">
    <w:name w:val="caption"/>
    <w:basedOn w:val="1"/>
    <w:next w:val="1"/>
    <w:semiHidden/>
    <w:unhideWhenUsed/>
    <w:qFormat/>
    <w:uiPriority w:val="35"/>
    <w:rPr>
      <w:b/>
      <w:bCs/>
      <w:sz w:val="18"/>
      <w:szCs w:val="18"/>
    </w:r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8"/>
    <w:unhideWhenUsed/>
    <w:qFormat/>
    <w:uiPriority w:val="0"/>
    <w:rPr>
      <w:rFonts w:hAnsi="Courier New" w:cs="Courier New" w:asciiTheme="minorEastAsia"/>
    </w:rPr>
  </w:style>
  <w:style w:type="paragraph" w:styleId="17">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unhideWhenUsed/>
    <w:qFormat/>
    <w:uiPriority w:val="99"/>
    <w:rPr>
      <w:color w:val="F49100" w:themeColor="hyperlink"/>
      <w:u w:val="single"/>
      <w14:textFill>
        <w14:solidFill>
          <w14:schemeClr w14:val="hlink"/>
        </w14:solidFill>
      </w14:textFill>
    </w:rPr>
  </w:style>
  <w:style w:type="character" w:customStyle="1" w:styleId="29">
    <w:name w:val="标题 1 字符"/>
    <w:basedOn w:val="25"/>
    <w:link w:val="4"/>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5"/>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6"/>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7"/>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8"/>
    <w:semiHidden/>
    <w:qFormat/>
    <w:uiPriority w:val="9"/>
    <w:rPr>
      <w:rFonts w:asciiTheme="majorHAnsi" w:hAnsiTheme="majorHAnsi" w:eastAsiaTheme="majorEastAsia" w:cstheme="majorBidi"/>
      <w:b/>
      <w:bCs/>
    </w:rPr>
  </w:style>
  <w:style w:type="character" w:customStyle="1" w:styleId="34">
    <w:name w:val="标题 6 字符"/>
    <w:basedOn w:val="25"/>
    <w:link w:val="9"/>
    <w:semiHidden/>
    <w:qFormat/>
    <w:uiPriority w:val="9"/>
    <w:rPr>
      <w:rFonts w:asciiTheme="majorHAnsi" w:hAnsiTheme="majorHAnsi" w:eastAsiaTheme="majorEastAsia" w:cstheme="majorBidi"/>
      <w:b/>
      <w:bCs/>
      <w:i/>
      <w:iCs/>
    </w:rPr>
  </w:style>
  <w:style w:type="character" w:customStyle="1" w:styleId="35">
    <w:name w:val="标题 7 字符"/>
    <w:basedOn w:val="25"/>
    <w:link w:val="10"/>
    <w:semiHidden/>
    <w:qFormat/>
    <w:uiPriority w:val="9"/>
    <w:rPr>
      <w:i/>
      <w:iCs/>
    </w:rPr>
  </w:style>
  <w:style w:type="character" w:customStyle="1" w:styleId="36">
    <w:name w:val="标题 8 字符"/>
    <w:basedOn w:val="25"/>
    <w:link w:val="11"/>
    <w:semiHidden/>
    <w:qFormat/>
    <w:uiPriority w:val="9"/>
    <w:rPr>
      <w:b/>
      <w:bCs/>
    </w:rPr>
  </w:style>
  <w:style w:type="character" w:customStyle="1" w:styleId="37">
    <w:name w:val="标题 9 字符"/>
    <w:basedOn w:val="25"/>
    <w:link w:val="12"/>
    <w:semiHidden/>
    <w:qFormat/>
    <w:uiPriority w:val="9"/>
    <w:rPr>
      <w:i/>
      <w:iCs/>
    </w:rPr>
  </w:style>
  <w:style w:type="character" w:customStyle="1" w:styleId="38">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20"/>
    <w:qFormat/>
    <w:uiPriority w:val="11"/>
    <w:rPr>
      <w:rFonts w:asciiTheme="majorHAnsi" w:hAnsiTheme="majorHAnsi" w:eastAsiaTheme="majorEastAsia" w:cstheme="majorBidi"/>
      <w:sz w:val="24"/>
      <w:szCs w:val="24"/>
    </w:rPr>
  </w:style>
  <w:style w:type="paragraph" w:styleId="40">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5"/>
    <w:link w:val="41"/>
    <w:qFormat/>
    <w:uiPriority w:val="29"/>
    <w:rPr>
      <w:rFonts w:asciiTheme="majorHAnsi" w:hAnsiTheme="majorHAnsi" w:eastAsiaTheme="majorEastAsia" w:cstheme="majorBidi"/>
      <w:i/>
      <w:iCs/>
      <w:sz w:val="24"/>
      <w:szCs w:val="24"/>
    </w:rPr>
  </w:style>
  <w:style w:type="paragraph"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5"/>
    <w:link w:val="43"/>
    <w:qFormat/>
    <w:uiPriority w:val="30"/>
    <w:rPr>
      <w:rFonts w:asciiTheme="majorHAnsi" w:hAnsiTheme="majorHAnsi" w:eastAsiaTheme="majorEastAsia" w:cstheme="majorBidi"/>
      <w:sz w:val="26"/>
      <w:szCs w:val="26"/>
    </w:rPr>
  </w:style>
  <w:style w:type="character" w:customStyle="1" w:styleId="45">
    <w:name w:val="Subtle Emphasis"/>
    <w:basedOn w:val="25"/>
    <w:qFormat/>
    <w:uiPriority w:val="19"/>
    <w:rPr>
      <w:i/>
      <w:iCs/>
      <w:color w:val="auto"/>
    </w:rPr>
  </w:style>
  <w:style w:type="character" w:customStyle="1" w:styleId="46">
    <w:name w:val="Intense Emphasis"/>
    <w:basedOn w:val="25"/>
    <w:qFormat/>
    <w:uiPriority w:val="21"/>
    <w:rPr>
      <w:b/>
      <w:bCs/>
      <w:i/>
      <w:iCs/>
      <w:color w:val="auto"/>
    </w:rPr>
  </w:style>
  <w:style w:type="character" w:customStyle="1" w:styleId="47">
    <w:name w:val="Subtle Reference"/>
    <w:basedOn w:val="25"/>
    <w:qFormat/>
    <w:uiPriority w:val="31"/>
    <w:rPr>
      <w:smallCaps/>
      <w:color w:val="auto"/>
      <w:u w:val="single" w:color="7E7E7E" w:themeColor="text1" w:themeTint="80"/>
    </w:rPr>
  </w:style>
  <w:style w:type="character" w:customStyle="1" w:styleId="48">
    <w:name w:val="Intense Reference"/>
    <w:basedOn w:val="25"/>
    <w:qFormat/>
    <w:uiPriority w:val="32"/>
    <w:rPr>
      <w:b/>
      <w:bCs/>
      <w:smallCaps/>
      <w:color w:val="auto"/>
      <w:u w:val="single"/>
    </w:rPr>
  </w:style>
  <w:style w:type="character" w:customStyle="1" w:styleId="49">
    <w:name w:val="Book Title"/>
    <w:basedOn w:val="25"/>
    <w:qFormat/>
    <w:uiPriority w:val="33"/>
    <w:rPr>
      <w:b/>
      <w:bCs/>
      <w:smallCaps/>
      <w:color w:val="auto"/>
    </w:rPr>
  </w:style>
  <w:style w:type="paragraph" w:customStyle="1" w:styleId="50">
    <w:name w:val="TOC Heading"/>
    <w:basedOn w:val="4"/>
    <w:next w:val="1"/>
    <w:unhideWhenUsed/>
    <w:qFormat/>
    <w:uiPriority w:val="39"/>
    <w:pPr>
      <w:outlineLvl w:val="9"/>
    </w:pPr>
  </w:style>
  <w:style w:type="character" w:customStyle="1" w:styleId="51">
    <w:name w:val="无间隔 字符"/>
    <w:basedOn w:val="25"/>
    <w:link w:val="40"/>
    <w:qFormat/>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5"/>
    <w:link w:val="18"/>
    <w:qFormat/>
    <w:uiPriority w:val="99"/>
    <w:rPr>
      <w:sz w:val="18"/>
      <w:szCs w:val="18"/>
    </w:rPr>
  </w:style>
  <w:style w:type="character" w:customStyle="1" w:styleId="54">
    <w:name w:val="页脚 字符"/>
    <w:basedOn w:val="25"/>
    <w:link w:val="17"/>
    <w:qFormat/>
    <w:uiPriority w:val="99"/>
    <w:rPr>
      <w:sz w:val="18"/>
      <w:szCs w:val="18"/>
    </w:rPr>
  </w:style>
  <w:style w:type="paragraph" w:styleId="55">
    <w:name w:val="List Paragraph"/>
    <w:basedOn w:val="1"/>
    <w:qFormat/>
    <w:uiPriority w:val="34"/>
    <w:pPr>
      <w:ind w:firstLine="420" w:firstLineChars="200"/>
    </w:pPr>
  </w:style>
  <w:style w:type="character" w:customStyle="1" w:styleId="56">
    <w:name w:val="正文文本缩进 3 字符"/>
    <w:basedOn w:val="25"/>
    <w:link w:val="21"/>
    <w:qFormat/>
    <w:uiPriority w:val="0"/>
    <w:rPr>
      <w:rFonts w:ascii="Times New Roman" w:hAnsi="Times New Roman" w:eastAsia="宋体" w:cs="Times New Roman"/>
      <w:kern w:val="2"/>
      <w:sz w:val="16"/>
      <w:szCs w:val="16"/>
    </w:rPr>
  </w:style>
  <w:style w:type="paragraph" w:customStyle="1" w:styleId="57">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5"/>
    <w:link w:val="16"/>
    <w:semiHidden/>
    <w:qFormat/>
    <w:uiPriority w:val="99"/>
    <w:rPr>
      <w:rFonts w:hAnsi="Courier New" w:cs="Courier New" w:asciiTheme="minorEastAsia"/>
    </w:rPr>
  </w:style>
  <w:style w:type="character" w:customStyle="1" w:styleId="59">
    <w:name w:val="正文文本 字符"/>
    <w:basedOn w:val="25"/>
    <w:link w:val="3"/>
    <w:semiHidden/>
    <w:qFormat/>
    <w:uiPriority w:val="99"/>
  </w:style>
  <w:style w:type="character" w:customStyle="1" w:styleId="60">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png"/><Relationship Id="rId11" Type="http://schemas.openxmlformats.org/officeDocument/2006/relationships/image" Target="media/image3.png"/><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7</Pages>
  <Words>418</Words>
  <Characters>2385</Characters>
  <Lines>19</Lines>
  <Paragraphs>5</Paragraphs>
  <TotalTime>6</TotalTime>
  <ScaleCrop>false</ScaleCrop>
  <LinksUpToDate>false</LinksUpToDate>
  <CharactersWithSpaces>2798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cp:lastPrinted>2022-04-07T00:47:00Z</cp:lastPrinted>
  <dcterms:modified xsi:type="dcterms:W3CDTF">2022-04-13T00:56:23Z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