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2"/>
        <w:spacing w:line="360" w:lineRule="auto"/>
        <w:jc w:val="center"/>
        <w:outlineLvl w:val="0"/>
        <w:rPr>
          <w:rFonts w:ascii="仿宋" w:hAnsi="仿宋" w:eastAsia="仿宋"/>
          <w:b/>
          <w:color w:val="auto"/>
          <w:sz w:val="44"/>
          <w:szCs w:val="44"/>
        </w:rPr>
      </w:pPr>
      <w:bookmarkStart w:id="0" w:name="_Toc266868924"/>
      <w:bookmarkStart w:id="1" w:name="_Toc169332904"/>
      <w:bookmarkStart w:id="2" w:name="_Toc169332794"/>
      <w:bookmarkStart w:id="3" w:name="_Toc267060162"/>
      <w:bookmarkStart w:id="4" w:name="_Toc267059519"/>
      <w:bookmarkStart w:id="5" w:name="_Toc212456146"/>
      <w:bookmarkStart w:id="6" w:name="_Toc267059010"/>
      <w:bookmarkStart w:id="7" w:name="_Toc266870861"/>
      <w:bookmarkStart w:id="8" w:name="_Toc212454753"/>
      <w:bookmarkStart w:id="9" w:name="_Toc267059786"/>
      <w:bookmarkStart w:id="10" w:name="_Toc267060022"/>
      <w:bookmarkStart w:id="11" w:name="_Toc267059161"/>
      <w:bookmarkStart w:id="12" w:name="_Toc267059633"/>
      <w:bookmarkStart w:id="13" w:name="_Toc212526081"/>
      <w:bookmarkStart w:id="14" w:name="_Toc258401210"/>
      <w:bookmarkStart w:id="15" w:name="_Toc267060407"/>
      <w:bookmarkStart w:id="16" w:name="_Toc225669277"/>
      <w:bookmarkStart w:id="17" w:name="_Toc219800200"/>
      <w:bookmarkStart w:id="18" w:name="_Toc227058483"/>
      <w:bookmarkStart w:id="19" w:name="_Toc235438227"/>
      <w:bookmarkStart w:id="20" w:name="_Toc259520819"/>
      <w:bookmarkStart w:id="21" w:name="_Toc273178686"/>
      <w:bookmarkStart w:id="22" w:name="_Toc235437942"/>
      <w:bookmarkStart w:id="23" w:name="_Toc160880487"/>
      <w:bookmarkStart w:id="24" w:name="_Toc251586187"/>
      <w:bookmarkStart w:id="25" w:name="_Toc254790852"/>
      <w:bookmarkStart w:id="26" w:name="_Toc251613780"/>
      <w:bookmarkStart w:id="27" w:name="_Toc255974963"/>
      <w:bookmarkStart w:id="28" w:name="_Toc249325665"/>
      <w:bookmarkStart w:id="29" w:name="_Toc236021402"/>
      <w:bookmarkStart w:id="30" w:name="_Toc235438297"/>
      <w:bookmarkStart w:id="31" w:name="_Toc259692600"/>
      <w:bookmarkStart w:id="32" w:name="_Toc212530253"/>
      <w:bookmarkStart w:id="33" w:name="_Toc266870386"/>
      <w:bookmarkStart w:id="34" w:name="_Toc170798743"/>
      <w:bookmarkStart w:id="35" w:name="_Toc211937196"/>
      <w:bookmarkStart w:id="36" w:name="_Toc259692693"/>
      <w:bookmarkStart w:id="37" w:name="_Toc216241307"/>
      <w:bookmarkStart w:id="38" w:name="_Toc253066567"/>
      <w:bookmarkStart w:id="39" w:name="_Toc223146565"/>
      <w:bookmarkStart w:id="40" w:name="_Toc217891359"/>
      <w:bookmarkStart w:id="41" w:name="_Toc177985424"/>
      <w:bookmarkStart w:id="42" w:name="_Toc267059899"/>
      <w:bookmarkStart w:id="43" w:name="_Toc266868624"/>
      <w:bookmarkStart w:id="44" w:name="_Toc207014580"/>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25" w:firstLineChars="152"/>
        <w:jc w:val="left"/>
        <w:rPr>
          <w:rFonts w:hint="eastAsia" w:ascii="仿宋" w:hAnsi="仿宋" w:eastAsia="仿宋" w:cs="仿宋"/>
          <w:color w:val="auto"/>
          <w:sz w:val="28"/>
          <w:szCs w:val="28"/>
        </w:rPr>
      </w:pPr>
      <w:bookmarkStart w:id="45" w:name="_Hlk10840310"/>
      <w:r>
        <w:rPr>
          <w:rFonts w:hint="eastAsia" w:ascii="仿宋" w:hAnsi="仿宋" w:eastAsia="仿宋" w:cs="仿宋"/>
          <w:color w:val="auto"/>
          <w:sz w:val="28"/>
          <w:szCs w:val="28"/>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郑州城轨交通中等专业学校</w:t>
      </w:r>
      <w:r>
        <w:rPr>
          <w:rFonts w:hint="eastAsia" w:ascii="仿宋" w:hAnsi="仿宋" w:eastAsia="仿宋" w:cs="仿宋"/>
          <w:color w:val="auto"/>
          <w:sz w:val="28"/>
          <w:szCs w:val="28"/>
          <w:lang w:eastAsia="zh-CN"/>
        </w:rPr>
        <w:t>校园艺术升学中心舞台音响、灯光</w:t>
      </w:r>
      <w:r>
        <w:rPr>
          <w:rFonts w:hint="eastAsia" w:ascii="仿宋" w:hAnsi="仿宋" w:eastAsia="仿宋" w:cs="仿宋"/>
          <w:color w:val="auto"/>
          <w:sz w:val="28"/>
          <w:szCs w:val="28"/>
          <w:lang w:val="en-US" w:eastAsia="zh-CN"/>
        </w:rPr>
        <w:t>采购项目</w:t>
      </w:r>
      <w:r>
        <w:rPr>
          <w:rFonts w:hint="eastAsia" w:ascii="仿宋" w:hAnsi="仿宋" w:eastAsia="仿宋" w:cs="仿宋"/>
          <w:color w:val="auto"/>
          <w:sz w:val="28"/>
          <w:szCs w:val="28"/>
        </w:rPr>
        <w:t>进行公开询价，欢迎国内合格参与人参与。</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auto"/>
          <w:sz w:val="24"/>
          <w:szCs w:val="24"/>
        </w:rPr>
        <w:t>一、项目说明</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rPr>
        <w:t>项</w:t>
      </w:r>
      <w:r>
        <w:rPr>
          <w:rFonts w:hint="eastAsia" w:ascii="仿宋" w:hAnsi="仿宋" w:eastAsia="仿宋" w:cstheme="minorBidi"/>
          <w:sz w:val="24"/>
          <w:szCs w:val="24"/>
          <w:highlight w:val="none"/>
          <w:lang w:val="en-US" w:eastAsia="zh-CN" w:bidi="ar-SA"/>
        </w:rPr>
        <w:t>目编号：ZZCG20220524</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项目名称：</w:t>
      </w:r>
      <w:r>
        <w:rPr>
          <w:rFonts w:hint="eastAsia" w:ascii="仿宋" w:hAnsi="仿宋" w:eastAsia="仿宋"/>
          <w:color w:val="auto"/>
          <w:sz w:val="24"/>
          <w:szCs w:val="24"/>
          <w:highlight w:val="none"/>
          <w:lang w:eastAsia="zh-CN"/>
        </w:rPr>
        <w:t>郑州城轨交通中等专业学校艺术升学中心舞台音响、灯光</w:t>
      </w:r>
      <w:r>
        <w:rPr>
          <w:rFonts w:hint="eastAsia" w:ascii="仿宋" w:hAnsi="仿宋" w:eastAsia="仿宋"/>
          <w:color w:val="auto"/>
          <w:sz w:val="24"/>
          <w:szCs w:val="24"/>
          <w:highlight w:val="none"/>
          <w:lang w:val="en-US" w:eastAsia="zh-CN"/>
        </w:rPr>
        <w:t>采购项目</w:t>
      </w:r>
    </w:p>
    <w:p>
      <w:pPr>
        <w:widowControl w:val="0"/>
        <w:numPr>
          <w:ilvl w:val="1"/>
          <w:numId w:val="1"/>
        </w:numPr>
        <w:spacing w:after="0" w:line="500" w:lineRule="exact"/>
        <w:rPr>
          <w:rFonts w:hint="eastAsia" w:ascii="仿宋" w:hAnsi="仿宋" w:eastAsia="仿宋"/>
          <w:color w:val="auto"/>
          <w:sz w:val="24"/>
          <w:szCs w:val="24"/>
          <w:highlight w:val="none"/>
          <w:lang w:eastAsia="zh-CN"/>
        </w:rPr>
      </w:pPr>
      <w:r>
        <w:rPr>
          <w:rFonts w:hint="eastAsia" w:ascii="仿宋" w:hAnsi="仿宋" w:eastAsia="仿宋"/>
          <w:color w:val="auto"/>
          <w:sz w:val="24"/>
          <w:szCs w:val="24"/>
          <w:highlight w:val="none"/>
        </w:rPr>
        <w:t>数量及主要技术要求:详见》</w:t>
      </w:r>
      <w:r>
        <w:rPr>
          <w:rFonts w:hint="eastAsia" w:ascii="仿宋" w:hAnsi="仿宋" w:eastAsia="仿宋"/>
          <w:color w:val="auto"/>
          <w:sz w:val="24"/>
          <w:szCs w:val="24"/>
          <w:highlight w:val="none"/>
          <w:lang w:eastAsia="zh-CN"/>
        </w:rPr>
        <w:t>《公开询价货物一览表》。</w:t>
      </w:r>
    </w:p>
    <w:p>
      <w:pPr>
        <w:widowControl w:val="0"/>
        <w:numPr>
          <w:ilvl w:val="1"/>
          <w:numId w:val="1"/>
        </w:numPr>
        <w:spacing w:after="0" w:line="500" w:lineRule="exact"/>
        <w:rPr>
          <w:rFonts w:hint="eastAsia" w:ascii="仿宋" w:hAnsi="仿宋" w:eastAsia="仿宋"/>
          <w:color w:val="auto"/>
          <w:sz w:val="24"/>
          <w:szCs w:val="24"/>
          <w:highlight w:val="none"/>
          <w:lang w:eastAsia="zh-CN"/>
        </w:rPr>
      </w:pPr>
      <w:r>
        <w:rPr>
          <w:rFonts w:hint="eastAsia" w:ascii="仿宋" w:hAnsi="仿宋" w:eastAsia="仿宋"/>
          <w:color w:val="auto"/>
          <w:sz w:val="24"/>
          <w:szCs w:val="24"/>
          <w:highlight w:val="none"/>
          <w:lang w:eastAsia="zh-CN"/>
        </w:rPr>
        <w:t>参与人资格标准：</w:t>
      </w:r>
    </w:p>
    <w:p>
      <w:pPr>
        <w:pStyle w:val="55"/>
        <w:numPr>
          <w:ilvl w:val="0"/>
          <w:numId w:val="2"/>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参与人应具有独立法人资格的生产厂商或授权经销商。</w:t>
      </w:r>
    </w:p>
    <w:p>
      <w:pPr>
        <w:pStyle w:val="55"/>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highlight w:val="none"/>
        </w:rPr>
        <w:t>参与人应具有合法有效的营业执照，经营范围应包括</w:t>
      </w:r>
      <w:r>
        <w:rPr>
          <w:rFonts w:hint="eastAsia" w:ascii="仿宋" w:hAnsi="仿宋" w:eastAsia="仿宋"/>
          <w:sz w:val="24"/>
          <w:szCs w:val="24"/>
          <w:highlight w:val="none"/>
          <w:lang w:eastAsia="zh-CN"/>
        </w:rPr>
        <w:t>弱电智能化工程相关</w:t>
      </w:r>
      <w:r>
        <w:rPr>
          <w:rFonts w:hint="eastAsia" w:ascii="仿宋" w:hAnsi="仿宋" w:eastAsia="仿宋"/>
          <w:sz w:val="24"/>
          <w:szCs w:val="24"/>
        </w:rPr>
        <w:t>资质</w:t>
      </w:r>
    </w:p>
    <w:p>
      <w:pPr>
        <w:pStyle w:val="55"/>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参与人应具</w:t>
      </w:r>
      <w:r>
        <w:rPr>
          <w:rFonts w:ascii="仿宋" w:hAnsi="仿宋" w:eastAsia="仿宋"/>
          <w:sz w:val="24"/>
          <w:szCs w:val="24"/>
        </w:rPr>
        <w:t>有提</w:t>
      </w:r>
      <w:r>
        <w:rPr>
          <w:rFonts w:hint="eastAsia" w:ascii="仿宋" w:hAnsi="仿宋" w:eastAsia="仿宋"/>
          <w:sz w:val="24"/>
          <w:szCs w:val="24"/>
        </w:rPr>
        <w:t>供</w:t>
      </w:r>
      <w:r>
        <w:rPr>
          <w:rFonts w:hint="eastAsia" w:ascii="仿宋" w:hAnsi="仿宋" w:eastAsia="仿宋"/>
          <w:sz w:val="24"/>
          <w:szCs w:val="24"/>
          <w:lang w:eastAsia="zh-CN"/>
        </w:rPr>
        <w:t>舞台音响、灯光</w:t>
      </w:r>
      <w:r>
        <w:rPr>
          <w:rFonts w:hint="eastAsia" w:ascii="仿宋" w:hAnsi="仿宋" w:eastAsia="仿宋"/>
          <w:sz w:val="24"/>
          <w:szCs w:val="24"/>
        </w:rPr>
        <w:t>设备</w:t>
      </w:r>
      <w:r>
        <w:rPr>
          <w:rFonts w:hint="eastAsia" w:ascii="仿宋" w:hAnsi="仿宋" w:eastAsia="仿宋"/>
          <w:sz w:val="24"/>
          <w:szCs w:val="24"/>
          <w:lang w:eastAsia="zh-CN"/>
        </w:rPr>
        <w:t>生产或销售</w:t>
      </w:r>
      <w:r>
        <w:rPr>
          <w:rFonts w:ascii="仿宋" w:hAnsi="仿宋" w:eastAsia="仿宋"/>
          <w:sz w:val="24"/>
          <w:szCs w:val="24"/>
        </w:rPr>
        <w:t>和服务的资格</w:t>
      </w:r>
      <w:r>
        <w:rPr>
          <w:rFonts w:hint="eastAsia" w:ascii="仿宋" w:hAnsi="仿宋" w:eastAsia="仿宋"/>
          <w:sz w:val="24"/>
          <w:szCs w:val="24"/>
        </w:rPr>
        <w:t>及</w:t>
      </w:r>
      <w:r>
        <w:rPr>
          <w:rFonts w:ascii="仿宋" w:hAnsi="仿宋" w:eastAsia="仿宋"/>
          <w:sz w:val="24"/>
          <w:szCs w:val="24"/>
        </w:rPr>
        <w:t>能力</w:t>
      </w:r>
      <w:r>
        <w:rPr>
          <w:rFonts w:hint="eastAsia" w:ascii="仿宋" w:hAnsi="仿宋" w:eastAsia="仿宋"/>
          <w:sz w:val="24"/>
          <w:szCs w:val="24"/>
        </w:rPr>
        <w:t>，具备相应的维护保养能力。</w:t>
      </w:r>
    </w:p>
    <w:p>
      <w:pPr>
        <w:pStyle w:val="55"/>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lang w:eastAsia="zh-CN"/>
        </w:rPr>
        <w:t>参与人应具有</w:t>
      </w:r>
      <w:r>
        <w:rPr>
          <w:rFonts w:hint="eastAsia" w:ascii="仿宋" w:hAnsi="仿宋" w:eastAsia="仿宋"/>
          <w:sz w:val="24"/>
          <w:szCs w:val="24"/>
          <w:lang w:val="en-US" w:eastAsia="zh-CN"/>
        </w:rPr>
        <w:t>2019年5月-2021年5月内两个同类产品销售业绩证明。</w:t>
      </w:r>
    </w:p>
    <w:p>
      <w:pPr>
        <w:pStyle w:val="55"/>
        <w:numPr>
          <w:ilvl w:val="0"/>
          <w:numId w:val="2"/>
        </w:numPr>
        <w:spacing w:after="0" w:line="500" w:lineRule="exact"/>
        <w:ind w:firstLineChars="0"/>
        <w:rPr>
          <w:rFonts w:ascii="仿宋" w:hAnsi="仿宋" w:eastAsia="仿宋"/>
          <w:color w:val="auto"/>
          <w:sz w:val="24"/>
          <w:szCs w:val="24"/>
        </w:rPr>
      </w:pPr>
      <w:r>
        <w:rPr>
          <w:rFonts w:hint="eastAsia" w:ascii="仿宋" w:hAnsi="仿宋" w:eastAsia="仿宋"/>
          <w:sz w:val="24"/>
          <w:szCs w:val="24"/>
          <w:lang w:val="en-US" w:eastAsia="zh-CN"/>
        </w:rPr>
        <w:t>为保证产品质量及售后的持续性，需提供售后服务承诺书、和针对本项目的产品合格证及</w:t>
      </w:r>
      <w:r>
        <w:rPr>
          <w:rFonts w:hint="eastAsia" w:ascii="仿宋" w:hAnsi="仿宋" w:eastAsia="仿宋"/>
          <w:color w:val="auto"/>
          <w:sz w:val="24"/>
          <w:szCs w:val="24"/>
          <w:lang w:val="en-US" w:eastAsia="zh-CN"/>
        </w:rPr>
        <w:t>检测报告。</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color w:val="auto"/>
          <w:sz w:val="24"/>
          <w:szCs w:val="24"/>
        </w:rPr>
        <w:t>报价响应文件递交方式：密封报价，按规定时间送达或邮寄。</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color w:val="auto"/>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2022</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6</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6</w:t>
      </w:r>
      <w:bookmarkStart w:id="179" w:name="_GoBack"/>
      <w:bookmarkEnd w:id="179"/>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rPr>
        <w:t>下午</w:t>
      </w:r>
      <w:r>
        <w:rPr>
          <w:rFonts w:ascii="仿宋" w:hAnsi="仿宋" w:eastAsia="仿宋"/>
          <w:color w:val="auto"/>
          <w:sz w:val="24"/>
          <w:szCs w:val="24"/>
          <w:shd w:val="clear" w:color="auto" w:fill="FFFFFF"/>
        </w:rPr>
        <w:t>16</w:t>
      </w:r>
      <w:r>
        <w:rPr>
          <w:rFonts w:hint="eastAsia" w:ascii="仿宋" w:hAnsi="仿宋" w:eastAsia="仿宋"/>
          <w:color w:val="auto"/>
          <w:sz w:val="24"/>
          <w:szCs w:val="24"/>
          <w:shd w:val="clear" w:color="auto" w:fill="FFFFFF"/>
        </w:rPr>
        <w:t>:</w:t>
      </w:r>
      <w:r>
        <w:rPr>
          <w:rFonts w:ascii="仿宋" w:hAnsi="仿宋" w:eastAsia="仿宋"/>
          <w:color w:val="auto"/>
          <w:sz w:val="24"/>
          <w:szCs w:val="24"/>
          <w:shd w:val="clear" w:color="auto" w:fill="FFFFFF"/>
        </w:rPr>
        <w:t>00</w:t>
      </w:r>
      <w:r>
        <w:rPr>
          <w:rFonts w:hint="eastAsia" w:ascii="仿宋" w:hAnsi="仿宋" w:eastAsia="仿宋"/>
          <w:color w:val="auto"/>
          <w:sz w:val="24"/>
          <w:szCs w:val="24"/>
          <w:shd w:val="clear" w:color="auto" w:fill="FFFFFF"/>
        </w:rPr>
        <w:t>前。</w:t>
      </w:r>
    </w:p>
    <w:p>
      <w:pPr>
        <w:pStyle w:val="55"/>
        <w:numPr>
          <w:ilvl w:val="1"/>
          <w:numId w:val="1"/>
        </w:numPr>
        <w:spacing w:after="0" w:line="500" w:lineRule="exact"/>
        <w:ind w:firstLineChars="0"/>
        <w:rPr>
          <w:rFonts w:ascii="仿宋" w:hAnsi="仿宋" w:eastAsia="仿宋"/>
          <w:color w:val="auto"/>
          <w:sz w:val="24"/>
          <w:szCs w:val="24"/>
        </w:rPr>
      </w:pPr>
      <w:r>
        <w:rPr>
          <w:rFonts w:hint="eastAsia" w:ascii="仿宋" w:hAnsi="仿宋" w:eastAsia="仿宋"/>
          <w:color w:val="auto"/>
          <w:sz w:val="24"/>
          <w:szCs w:val="24"/>
        </w:rPr>
        <w:t>报价响应文件递交地点：</w:t>
      </w:r>
      <w:r>
        <w:rPr>
          <w:rFonts w:hint="eastAsia" w:ascii="仿宋" w:hAnsi="仿宋" w:eastAsia="仿宋"/>
          <w:color w:val="auto"/>
          <w:sz w:val="24"/>
          <w:szCs w:val="24"/>
          <w:lang w:eastAsia="zh-CN"/>
        </w:rPr>
        <w:t>郑州城轨交通中等专业学校行政楼二楼采购管理科</w:t>
      </w:r>
      <w:r>
        <w:rPr>
          <w:rFonts w:hint="eastAsia" w:ascii="仿宋" w:hAnsi="仿宋" w:eastAsia="仿宋"/>
          <w:color w:val="auto"/>
          <w:sz w:val="24"/>
          <w:szCs w:val="24"/>
        </w:rPr>
        <w:t>。</w:t>
      </w:r>
    </w:p>
    <w:p>
      <w:pPr>
        <w:pStyle w:val="55"/>
        <w:spacing w:after="0" w:line="500" w:lineRule="exact"/>
        <w:ind w:left="839" w:firstLine="0" w:firstLineChars="0"/>
        <w:rPr>
          <w:rFonts w:hint="default" w:ascii="仿宋" w:hAnsi="仿宋" w:eastAsia="仿宋"/>
          <w:color w:val="auto"/>
          <w:sz w:val="24"/>
          <w:szCs w:val="24"/>
          <w:lang w:val="en-US" w:eastAsia="zh-CN"/>
        </w:rPr>
      </w:pPr>
      <w:r>
        <w:rPr>
          <w:rFonts w:hint="eastAsia" w:ascii="仿宋" w:hAnsi="仿宋" w:eastAsia="仿宋"/>
          <w:color w:val="auto"/>
          <w:sz w:val="24"/>
          <w:szCs w:val="24"/>
        </w:rPr>
        <w:t>联系人：</w:t>
      </w:r>
      <w:r>
        <w:rPr>
          <w:rFonts w:hint="eastAsia" w:ascii="仿宋" w:hAnsi="仿宋" w:eastAsia="仿宋"/>
          <w:color w:val="auto"/>
          <w:sz w:val="24"/>
          <w:szCs w:val="24"/>
          <w:lang w:eastAsia="zh-CN"/>
        </w:rPr>
        <w:t>张永强</w:t>
      </w:r>
      <w:r>
        <w:rPr>
          <w:rFonts w:hint="eastAsia" w:ascii="仿宋" w:hAnsi="仿宋" w:eastAsia="仿宋"/>
          <w:color w:val="auto"/>
          <w:sz w:val="24"/>
          <w:szCs w:val="24"/>
        </w:rPr>
        <w:t>；联系电话：</w:t>
      </w:r>
      <w:r>
        <w:rPr>
          <w:rFonts w:hint="eastAsia" w:ascii="仿宋" w:hAnsi="仿宋" w:eastAsia="仿宋"/>
          <w:color w:val="auto"/>
          <w:sz w:val="24"/>
          <w:szCs w:val="24"/>
          <w:lang w:val="en-US" w:eastAsia="zh-CN"/>
        </w:rPr>
        <w:t>18537172600  勘探联系人：王腾 17630363975</w:t>
      </w:r>
    </w:p>
    <w:p>
      <w:pPr>
        <w:widowControl w:val="0"/>
        <w:numPr>
          <w:ilvl w:val="0"/>
          <w:numId w:val="0"/>
        </w:numPr>
        <w:spacing w:after="0" w:line="500" w:lineRule="exact"/>
        <w:ind w:left="420" w:leftChars="0"/>
        <w:rPr>
          <w:rFonts w:ascii="仿宋" w:hAnsi="仿宋" w:eastAsia="仿宋"/>
          <w:color w:val="auto"/>
          <w:sz w:val="24"/>
          <w:szCs w:val="24"/>
        </w:rPr>
      </w:pPr>
      <w:r>
        <w:rPr>
          <w:rFonts w:hint="eastAsia" w:ascii="仿宋" w:hAnsi="仿宋" w:eastAsia="仿宋"/>
          <w:color w:val="auto"/>
          <w:sz w:val="24"/>
          <w:szCs w:val="24"/>
          <w:lang w:val="en-US" w:eastAsia="zh-CN"/>
        </w:rPr>
        <w:t>8.</w:t>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公开询价邀请函列示内容存有疑问的</w:t>
      </w:r>
      <w:r>
        <w:rPr>
          <w:rFonts w:hint="eastAsia" w:ascii="仿宋" w:hAnsi="仿宋" w:eastAsia="仿宋"/>
          <w:color w:val="auto"/>
          <w:sz w:val="24"/>
          <w:szCs w:val="24"/>
        </w:rPr>
        <w:t>，请在报价响应文件递交截止之日前，将问题以书面形式（有效签署的原件并加盖公章）提交至学校业务对接人，联系人：</w:t>
      </w:r>
      <w:r>
        <w:rPr>
          <w:rFonts w:hint="eastAsia" w:ascii="仿宋" w:hAnsi="仿宋" w:eastAsia="仿宋"/>
          <w:color w:val="auto"/>
          <w:sz w:val="24"/>
          <w:szCs w:val="24"/>
          <w:lang w:eastAsia="zh-CN"/>
        </w:rPr>
        <w:t>张永强</w:t>
      </w:r>
      <w:r>
        <w:rPr>
          <w:rFonts w:hint="eastAsia" w:ascii="仿宋" w:hAnsi="仿宋" w:eastAsia="仿宋"/>
          <w:color w:val="auto"/>
          <w:sz w:val="24"/>
          <w:szCs w:val="24"/>
        </w:rPr>
        <w:t>，电话：</w:t>
      </w:r>
      <w:r>
        <w:rPr>
          <w:rFonts w:hint="eastAsia" w:ascii="仿宋" w:hAnsi="仿宋" w:eastAsia="仿宋"/>
          <w:color w:val="auto"/>
          <w:sz w:val="24"/>
          <w:szCs w:val="24"/>
          <w:lang w:val="en-US" w:eastAsia="zh-CN"/>
        </w:rPr>
        <w:t>18537172600</w:t>
      </w:r>
      <w:r>
        <w:rPr>
          <w:rFonts w:hint="eastAsia" w:ascii="仿宋" w:hAnsi="仿宋" w:eastAsia="仿宋"/>
          <w:color w:val="auto"/>
          <w:sz w:val="24"/>
          <w:szCs w:val="24"/>
        </w:rPr>
        <w:t>。采购人不对超时提交及未加盖公章的质疑文件进行回复。</w:t>
      </w:r>
    </w:p>
    <w:p>
      <w:pPr>
        <w:widowControl w:val="0"/>
        <w:numPr>
          <w:ilvl w:val="0"/>
          <w:numId w:val="0"/>
        </w:numPr>
        <w:spacing w:after="0" w:line="460" w:lineRule="exact"/>
        <w:ind w:left="420" w:leftChars="0"/>
        <w:rPr>
          <w:rFonts w:ascii="仿宋" w:hAnsi="仿宋" w:eastAsia="仿宋"/>
          <w:color w:val="auto"/>
          <w:sz w:val="24"/>
          <w:szCs w:val="24"/>
        </w:rPr>
      </w:pPr>
      <w:bookmarkStart w:id="46" w:name="_Hlk97917519"/>
      <w:r>
        <w:rPr>
          <w:rFonts w:hint="eastAsia" w:ascii="仿宋" w:hAnsi="仿宋" w:eastAsia="仿宋"/>
          <w:color w:val="auto"/>
          <w:sz w:val="24"/>
          <w:szCs w:val="24"/>
          <w:lang w:val="en-US" w:eastAsia="zh-CN"/>
        </w:rPr>
        <w:t>9.</w:t>
      </w:r>
      <w:r>
        <w:rPr>
          <w:rFonts w:hint="eastAsia" w:ascii="仿宋" w:hAnsi="仿宋" w:eastAsia="仿宋"/>
          <w:color w:val="auto"/>
          <w:sz w:val="24"/>
          <w:szCs w:val="24"/>
        </w:rPr>
        <w:t>本项目最终成交结果会在中教集团后勤贤知平台“中标信息公示”板块公示，网址：</w:t>
      </w:r>
      <w:r>
        <w:rPr>
          <w:color w:val="auto"/>
        </w:rPr>
        <w:fldChar w:fldCharType="begin"/>
      </w:r>
      <w:r>
        <w:rPr>
          <w:color w:val="auto"/>
        </w:rPr>
        <w:instrText xml:space="preserve"> HYPERLINK "http://www.ceghqxz.com" </w:instrText>
      </w:r>
      <w:r>
        <w:rPr>
          <w:color w:val="auto"/>
        </w:rPr>
        <w:fldChar w:fldCharType="separate"/>
      </w:r>
      <w:r>
        <w:rPr>
          <w:rStyle w:val="29"/>
          <w:rFonts w:hint="eastAsia" w:ascii="仿宋" w:hAnsi="仿宋" w:eastAsia="仿宋"/>
          <w:color w:val="auto"/>
          <w:sz w:val="24"/>
          <w:szCs w:val="24"/>
        </w:rPr>
        <w:t>www.ceghqxz.com</w:t>
      </w:r>
      <w:r>
        <w:rPr>
          <w:rStyle w:val="29"/>
          <w:rFonts w:hint="eastAsia" w:ascii="仿宋" w:hAnsi="仿宋" w:eastAsia="仿宋"/>
          <w:color w:val="auto"/>
          <w:sz w:val="24"/>
          <w:szCs w:val="24"/>
        </w:rPr>
        <w:fldChar w:fldCharType="end"/>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采购过程和成交结果有异议的，</w:t>
      </w:r>
      <w:bookmarkEnd w:id="46"/>
      <w:r>
        <w:rPr>
          <w:rFonts w:hint="eastAsia" w:ascii="仿宋" w:hAnsi="仿宋" w:eastAsia="仿宋"/>
          <w:color w:val="auto"/>
          <w:sz w:val="24"/>
          <w:szCs w:val="24"/>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rPr>
      </w:pPr>
      <w:r>
        <w:rPr>
          <w:rFonts w:hint="eastAsia" w:ascii="仿宋" w:hAnsi="仿宋" w:eastAsia="仿宋"/>
          <w:color w:val="auto"/>
          <w:sz w:val="24"/>
          <w:szCs w:val="24"/>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auto"/>
          <w:sz w:val="24"/>
          <w:szCs w:val="24"/>
        </w:rPr>
      </w:pPr>
      <w:r>
        <w:rPr>
          <w:rFonts w:hint="eastAsia" w:ascii="仿宋" w:hAnsi="仿宋" w:eastAsia="仿宋"/>
          <w:color w:val="auto"/>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pStyle w:val="55"/>
        <w:widowControl w:val="0"/>
        <w:numPr>
          <w:ilvl w:val="3"/>
          <w:numId w:val="4"/>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免费保修期:</w:t>
      </w:r>
      <w:r>
        <w:rPr>
          <w:rFonts w:hint="eastAsia" w:ascii="仿宋" w:hAnsi="仿宋" w:eastAsia="仿宋"/>
          <w:color w:val="000000" w:themeColor="text1"/>
          <w:sz w:val="24"/>
          <w:szCs w:val="24"/>
          <w:lang w:val="en-US" w:eastAsia="zh-CN"/>
          <w14:textFill>
            <w14:solidFill>
              <w14:schemeClr w14:val="tx1"/>
            </w14:solidFill>
          </w14:textFill>
        </w:rPr>
        <w:t>24</w:t>
      </w:r>
      <w:r>
        <w:rPr>
          <w:rFonts w:hint="eastAsia" w:ascii="仿宋" w:hAnsi="仿宋" w:eastAsia="仿宋"/>
          <w:sz w:val="24"/>
          <w:szCs w:val="24"/>
        </w:rPr>
        <w:t>个月</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应急维修时间安排：</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维修地点、地址、联系电话及联系人员：</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维修服务</w:t>
      </w:r>
      <w:r>
        <w:rPr>
          <w:rFonts w:hint="eastAsia" w:ascii="仿宋" w:hAnsi="仿宋" w:eastAsia="仿宋"/>
          <w:sz w:val="24"/>
          <w:szCs w:val="24"/>
          <w:lang w:eastAsia="zh-CN"/>
        </w:rPr>
        <w:t>、</w:t>
      </w:r>
      <w:r>
        <w:rPr>
          <w:rFonts w:hint="eastAsia" w:ascii="仿宋" w:hAnsi="仿宋" w:eastAsia="仿宋"/>
          <w:sz w:val="24"/>
          <w:szCs w:val="24"/>
        </w:rPr>
        <w:t>主要零配件及易耗品收费标准：</w:t>
      </w:r>
    </w:p>
    <w:p>
      <w:pPr>
        <w:pStyle w:val="55"/>
        <w:widowControl w:val="0"/>
        <w:numPr>
          <w:ilvl w:val="0"/>
          <w:numId w:val="4"/>
        </w:numPr>
        <w:spacing w:after="0" w:line="500" w:lineRule="exact"/>
        <w:ind w:firstLineChars="0"/>
        <w:jc w:val="left"/>
        <w:rPr>
          <w:rFonts w:ascii="仿宋" w:hAnsi="仿宋" w:eastAsia="仿宋"/>
          <w:sz w:val="24"/>
          <w:szCs w:val="24"/>
        </w:rPr>
      </w:pPr>
      <w:r>
        <w:rPr>
          <w:rFonts w:hint="eastAsia" w:ascii="仿宋" w:hAnsi="仿宋" w:eastAsia="仿宋"/>
          <w:sz w:val="24"/>
          <w:szCs w:val="24"/>
        </w:rPr>
        <w:t>制造商的技术支持。</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四、确定成交参与人标准及原则：</w:t>
      </w:r>
    </w:p>
    <w:p>
      <w:pPr>
        <w:pStyle w:val="55"/>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5"/>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参与人所投物品符合需求、质量和服务等的要求,经过磋商所报价格为合理价格的参与人为成交参与人。</w:t>
      </w:r>
    </w:p>
    <w:p>
      <w:pPr>
        <w:pStyle w:val="55"/>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5"/>
        <w:spacing w:after="0" w:line="500" w:lineRule="exact"/>
        <w:ind w:left="0" w:leftChars="0" w:firstLine="0" w:firstLineChars="0"/>
        <w:jc w:val="left"/>
        <w:rPr>
          <w:rFonts w:ascii="仿宋" w:hAnsi="仿宋" w:eastAsia="仿宋"/>
          <w:sz w:val="24"/>
          <w:szCs w:val="24"/>
        </w:rPr>
      </w:pPr>
    </w:p>
    <w:p>
      <w:pPr>
        <w:pStyle w:val="55"/>
        <w:spacing w:after="0" w:line="500" w:lineRule="exact"/>
        <w:ind w:left="0" w:leftChars="0" w:firstLine="6720" w:firstLineChars="2800"/>
        <w:jc w:val="left"/>
        <w:rPr>
          <w:rFonts w:ascii="仿宋" w:hAnsi="仿宋" w:eastAsia="仿宋"/>
          <w:color w:val="auto"/>
          <w:sz w:val="24"/>
          <w:szCs w:val="24"/>
        </w:rPr>
      </w:pPr>
      <w:r>
        <w:rPr>
          <w:rFonts w:hint="eastAsia" w:ascii="仿宋" w:hAnsi="仿宋" w:eastAsia="仿宋"/>
          <w:color w:val="auto"/>
          <w:sz w:val="24"/>
          <w:szCs w:val="24"/>
          <w:lang w:eastAsia="zh-CN"/>
        </w:rPr>
        <w:t>郑州城轨交通中等专业</w:t>
      </w:r>
      <w:r>
        <w:rPr>
          <w:rFonts w:hint="eastAsia" w:ascii="仿宋" w:hAnsi="仿宋" w:eastAsia="仿宋"/>
          <w:color w:val="auto"/>
          <w:sz w:val="24"/>
          <w:szCs w:val="24"/>
        </w:rPr>
        <w:t>学校</w:t>
      </w:r>
    </w:p>
    <w:p>
      <w:pPr>
        <w:pStyle w:val="55"/>
        <w:spacing w:after="0" w:line="500" w:lineRule="exact"/>
        <w:ind w:left="7371" w:firstLine="0" w:firstLineChars="0"/>
        <w:jc w:val="left"/>
        <w:rPr>
          <w:rFonts w:hint="eastAsia" w:ascii="仿宋" w:hAnsi="仿宋" w:eastAsia="仿宋"/>
          <w:color w:val="auto"/>
          <w:sz w:val="24"/>
          <w:szCs w:val="24"/>
        </w:rPr>
      </w:pPr>
      <w:r>
        <w:rPr>
          <w:rFonts w:hint="eastAsia" w:ascii="仿宋" w:hAnsi="仿宋" w:eastAsia="仿宋"/>
          <w:color w:val="auto"/>
          <w:sz w:val="24"/>
          <w:szCs w:val="24"/>
          <w:lang w:val="en-US" w:eastAsia="zh-CN"/>
        </w:rPr>
        <w:t>2022</w:t>
      </w:r>
      <w:r>
        <w:rPr>
          <w:rFonts w:hint="eastAsia" w:ascii="仿宋" w:hAnsi="仿宋" w:eastAsia="仿宋"/>
          <w:color w:val="auto"/>
          <w:sz w:val="24"/>
          <w:szCs w:val="24"/>
        </w:rPr>
        <w:t>年</w:t>
      </w:r>
      <w:r>
        <w:rPr>
          <w:rFonts w:hint="eastAsia" w:ascii="仿宋" w:hAnsi="仿宋" w:eastAsia="仿宋"/>
          <w:color w:val="auto"/>
          <w:sz w:val="24"/>
          <w:szCs w:val="24"/>
          <w:lang w:val="en-US" w:eastAsia="zh-CN"/>
        </w:rPr>
        <w:t>5</w:t>
      </w:r>
      <w:r>
        <w:rPr>
          <w:rFonts w:hint="eastAsia" w:ascii="仿宋" w:hAnsi="仿宋" w:eastAsia="仿宋"/>
          <w:color w:val="auto"/>
          <w:sz w:val="24"/>
          <w:szCs w:val="24"/>
        </w:rPr>
        <w:t>月</w:t>
      </w:r>
      <w:r>
        <w:rPr>
          <w:rFonts w:hint="eastAsia" w:ascii="仿宋" w:hAnsi="仿宋" w:eastAsia="仿宋"/>
          <w:color w:val="auto"/>
          <w:sz w:val="24"/>
          <w:szCs w:val="24"/>
          <w:lang w:val="en-US" w:eastAsia="zh-CN"/>
        </w:rPr>
        <w:t>23</w:t>
      </w:r>
      <w:r>
        <w:rPr>
          <w:rFonts w:hint="eastAsia" w:ascii="仿宋" w:hAnsi="仿宋" w:eastAsia="仿宋"/>
          <w:color w:val="auto"/>
          <w:sz w:val="24"/>
          <w:szCs w:val="24"/>
        </w:rPr>
        <w:t>日</w:t>
      </w:r>
    </w:p>
    <w:p>
      <w:pPr>
        <w:pStyle w:val="55"/>
        <w:spacing w:after="0" w:line="500" w:lineRule="exact"/>
        <w:ind w:left="851" w:firstLine="0" w:firstLineChars="0"/>
        <w:jc w:val="center"/>
        <w:rPr>
          <w:rFonts w:ascii="仿宋" w:hAnsi="仿宋" w:eastAsia="仿宋"/>
          <w:sz w:val="24"/>
          <w:szCs w:val="24"/>
        </w:rPr>
      </w:pPr>
      <w:r>
        <w:rPr>
          <w:rFonts w:ascii="仿宋" w:hAnsi="仿宋" w:eastAsia="仿宋"/>
          <w:color w:val="FF0000"/>
          <w:sz w:val="28"/>
          <w:szCs w:val="28"/>
        </w:rPr>
        <w:br w:type="page"/>
      </w:r>
      <w:r>
        <w:rPr>
          <w:rFonts w:hint="eastAsia" w:ascii="仿宋" w:hAnsi="仿宋" w:eastAsia="仿宋"/>
          <w:b/>
          <w:color w:val="000000" w:themeColor="text1"/>
          <w:sz w:val="44"/>
          <w:szCs w:val="44"/>
          <w14:textFill>
            <w14:solidFill>
              <w14:schemeClr w14:val="tx1"/>
            </w14:solidFill>
          </w14:textFill>
        </w:rPr>
        <w:t>公开询价货物一览表</w:t>
      </w:r>
      <w:bookmarkEnd w:id="45"/>
    </w:p>
    <w:tbl>
      <w:tblPr>
        <w:tblStyle w:val="24"/>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62"/>
        <w:gridCol w:w="2110"/>
        <w:gridCol w:w="818"/>
        <w:gridCol w:w="990"/>
        <w:gridCol w:w="2280"/>
        <w:gridCol w:w="562"/>
        <w:gridCol w:w="562"/>
        <w:gridCol w:w="646"/>
        <w:gridCol w:w="647"/>
        <w:gridCol w:w="8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编号</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设备名称</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品牌</w:t>
            </w: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型号</w:t>
            </w: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（参考）规格参数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数量</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单价</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金额</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lang w:val="en-US" w:eastAsia="zh-CN"/>
              </w:rPr>
            </w:pPr>
            <w:r>
              <w:rPr>
                <w:rFonts w:hint="eastAsia" w:ascii="宋体" w:hAnsi="宋体" w:eastAsia="宋体" w:cs="宋体"/>
                <w:b/>
                <w:bCs/>
                <w:i w:val="0"/>
                <w:iCs w:val="0"/>
                <w:color w:val="000000"/>
                <w:sz w:val="22"/>
                <w:szCs w:val="22"/>
                <w:u w:val="none"/>
                <w:lang w:val="en-US" w:eastAsia="zh-CN"/>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33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FF0000"/>
                <w:sz w:val="22"/>
                <w:szCs w:val="22"/>
                <w:u w:val="none"/>
              </w:rPr>
            </w:pPr>
            <w:r>
              <w:rPr>
                <w:rFonts w:hint="eastAsia" w:ascii="宋体" w:hAnsi="宋体" w:eastAsia="宋体" w:cs="宋体"/>
                <w:b/>
                <w:bCs/>
                <w:i w:val="0"/>
                <w:iCs w:val="0"/>
                <w:color w:val="auto"/>
                <w:kern w:val="0"/>
                <w:sz w:val="22"/>
                <w:szCs w:val="22"/>
                <w:u w:val="none"/>
                <w:lang w:val="en-US" w:eastAsia="zh-CN" w:bidi="ar"/>
              </w:rPr>
              <w:t>音响扩声系统</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rPr>
            </w:pP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rPr>
            </w:pP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主扩声音箱</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 15寸两分频低频反射式扬声器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2.箱体板材要求高端板材，耐用。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4.外部设有M10多点式吊挂方式，底部还设有单个金属支架孔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系统构成：        LF15"x1,HF3"x1</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额定功率 :500W / 1000W / 2000W(连续/节目/峰值)</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频率范围：50 Hz---20K Hz(-10dB)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频率响应：65 Hz---19K Hz(±3dB)输入连接器：两 个 插座,低频：1+ 1-</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输入阻抗：8 Ohms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灵 敏 度:100 dB</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只</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辅助扩声音箱</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 12寸两分频低频反射式扬声器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2.精选欧洲进口板材制造的箱体，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4. 输入连接器采用原装高端插座,低频：1+ 1-特殊的梯形设计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4.外部设有M10多点式吊挂方式，底部设有单个金属支架孔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系统构成：        LF12"x1,HF1"x1</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额定功率 :400W / 800W / 1600W(连续/节目/峰值)</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频率范围：50 Hz---20K Hz(-10dB)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频率响应：65 Hz---19K Hz(±3dB)输入连接器：两 个 高端插座,低频：1+ 1-</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输入阻抗：8 Ohms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灵 敏 度:100 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最大声压级输出:127 dB (峰值: 133 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外形尺寸 (H x W x D): ≥ 600 x 350 x 400 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重量：≥20 ㎏(净重)</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只</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返听扩声音箱</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1. 12寸两分频低频反射式扬声器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2.精选欧洲进口板材制造的箱体，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4. 输入连接器采用原装Neutrik NL4插座,低频：1+ 1-特殊的梯形设计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4.外部设有M10多点式吊挂方式，底部还设有单个金属支架孔</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只</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主扩专业音频功率放大器</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通道数:2 通道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8Ω单声道:2 x 1100W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4Ω单声道:2 x 1800W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频率响应:20Hz‐20kHz ﴾±1 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总谐波失真:&lt; 0.3%，8Ω，1W@1kHz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互调失真:＜ 0.5%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增益:0.775V/38dB/35dB/32dB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转换速率:≥ 30V/us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阻尼系数: ≥ 180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信噪比:＞100dB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串扰: ＞60dB@1kHz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输入阻抗:30kΩ ﴾平衡输入，立体声﴿ / 15kΩ ﴾不平衡输入，并联﴿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重量: 16kg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输入接口:6 x Neutrik XLR</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输出接口:4 x Neutrik Speakon</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保护功能:开机软启动、过载、过热、短路、直流输出、峰值压限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前面板指示灯:保护，削峰，信号，并联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尺寸 ﴾W x H x D﴿:483 x 88 x 475 mm</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辅助专业音频功率放大器</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通道数:2 通道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8Ω单声道:2 x 800W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4Ω单声道:2 x 1200W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频率响应:20Hz‐20kHz ﴾±1 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总谐波失真:&lt; 0.3%，8Ω，1W@1kHz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互调失真:＜ 0.5%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增益:0.775V/38dB/35dB/32dB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转换速率:≥ 30V/us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阻尼系数: ≥ 180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信噪比:＞100dB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串扰: ＞60dB@1kHz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输入阻抗:30kΩ ﴾平衡输入，立体声﴿ / 15kΩ ﴾不平衡输入，并联﴿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重量: 12kg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输入接口:6 x Neutrik XLR</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输出接口:4 x Neutrik Speakon</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保护功能:开机软启动、过载、过热、短路、直流输出、峰值压限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前面板指示灯:保护，削峰，信号，并联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尺寸 ﴾W x H x D﴿:483 x 88 x 475 mm</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返听专业音频功率放大器</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通道数:2 通道</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8Ω单声道:2 x 800W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4Ω单声道:2 x 1200W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频率响应:20Hz‐20kHz ﴾±1 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总谐波失真:&lt; 0.3%，8Ω，1W@1kHz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互调失真:＜ 0.5%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增益:0.775V/38dB/35dB/32dB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转换速率:≥ 30V/us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阻尼系数: ≥ 180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信噪比:＞100dB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串扰: ＞60dB@1kHz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输入阻抗:30kΩ ﴾平衡输入，立体声﴿ / 15kΩ ﴾不平衡输入，并联﴿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重量: 12kg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输入接口:6 x Neutrik XLR</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输出接口:4 x Neutrik Speakon</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保护功能:开机软启动、过载、过热、短路、直流输出、峰值压限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前面板指示灯:保护，削峰，信号，并联</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尺寸 ﴾W x H x D﴿:483 x 88 x 475 mm</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lang w:val="en-US" w:eastAsia="zh-CN" w:bidi="ar-SA"/>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0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多功能调音台</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话筒：10；频响：+0.5dB/-0.5dB（20Hz-20kHz）；总谐波失真：0.03%@+14dBu（20 Hz-20kHz）；输入通道：16通道：单声道：8；立体声：4；输出通道：STEREO OUT：2；PHONES：1；母线：立体声：1；编组：4，AUX（包括FX）；USB音频：USB音频2.0兼容 采样率：最大192kHz，Bit深度：24-bit；幻象电源电压：+48V；内建数字效果：24编程；带有液晶显示的USB播放接口。蓝牙功能和手机无缝连接。外观尺寸：444×130×500mm；功耗：30W；操作温度：0-40℃；净重：7.5kg</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0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动态数字音频处理器</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↘占用一个机架式空间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↘三个输入接口-六个输出接口</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↘具有音箱处理器功能的卡拉OK效果器，各部分功能可独立调节。</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↘采用2Bit数据总线和32Bit DSP。</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↘音乐设有7段参量均衡。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↘音乐到主输出高通滤波器：12dB/24dB(0Hz - 303Hz)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↘话筒设有15段参量均衡。有麦克风压限功能。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↘主输出设有5段参量均衡。 有压缩限幅器。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↘中置输出，后置输出及超低均设有3段参量均衡。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↘麦克风有4种反馈抑制模式：OFF  1  2  3。</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↘可存储16种模式。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↘话筒输出，主输出，中置输出，超低音输出，后置输出均设有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   压限及延时功能。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↘内有管理者模式与用户模式，用户模式在调整参数后不能存储。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↘本机设有全功能菜单，可通过强大的PC界面设置。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↘最大输入电平：4V(RMS)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↘最大输出电平：4V(RMS)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↘音乐通道增益：MAX：12dB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↘麦克风灵敏度：64mV (Out：4V)</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↘信噪比：&gt;80dB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↘输入电压：~220V  50Hz</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055" w:type="pct"/>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音频距阵</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协议：支持HDCP1.3协议，支持HDMI1.3协议，兼容DVI1.0协议。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接口带宽：2.25Gbps（总共6.75Gbps，每种颜色是2.25Gbps）。</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像素带宽：165MHz, 全数字。</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最大支持分辨率：HDPC: 1920x1200P@ 60_24bit, HDTV：1920x1080P@60_36bit。</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信号类型：HDMI 1.3规范中的 HDMI-A全数字 T.M.D.S. 信号。</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信号强度：T.M.D.S +/- 0.4Vpp。</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接口：HDMI-A母接口。</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切换速度：100ms(最长时间)。</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信噪比：≥96dB。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回波损耗：-50dB@5MHz。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控制协议：9600 波特， 8 位， 1 个停止位，无奇偶校验。</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串行控制接口：2 = TX, 3 = RX, 5 = GND。</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13.外形尺寸:480×290×47mm</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手持式无线话筒</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频率范围：640MHz-690MHz 频道总数：200 有效使</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用距离：约50米 SR300 频率误差：±10kHz 频率</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震荡模式：PLL相位锁定频率合成 接收方式：CPU</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控制选讯+导频识别接收 电源供应：12 VDC, 1.25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A HT300 频率震荡模式：PLL相位锁定频率合成 发</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射功率：≤30mW</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头戴式无线话筒</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头戴式无线话筒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2.类别:心形指向；电容式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频响：40 至 20,000 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灵敏度：–55,5 dBV/Pa</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头戴式话筒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发射器及接收器配套使用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灵敏度(dBV/Pa):–55,5 dBV/Pa</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演讲合唱话筒</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超长鹅颈、独立的立式架、平衡输出、适用于大的会议厅演讲、演唱（大合唱），室内外庆典等场合，话筒可以单独作为专业录音使用，48V幻象供电。</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参数：</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1.换能方式: 双电容式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2.频率响应 (Hz): 30Hz-16KHz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3.指向性 : 心型指向</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4.输出阻抗（欧姆） :平衡 75Ω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5.灵敏度 : -43dB±2dB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6.供电电压 (V):幻象48V</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7.可调节高度：0.1米——1.65米</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8.话筒重量：4.75 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9.底座规格 mm：圆锥形直径240，高60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10.抗手机、电磁、高频干扰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8路电源时序器</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8路电源时序器；最大输入电流:60A</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单路最大输出电流:30A</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各电源通路最大输出功率:3KW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延迟通断时间:1秒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中控接口RS232:有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联机支持:有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数字显示电压表:有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万用插座，共十路后面板8个受控万用插座；可顺序开机，逆序关机，网口连接可支持255台设备级联；</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专业机柜</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国产</w:t>
            </w: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42U</w:t>
            </w: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结构坚固，最大静载达800KG；高级旋把机柜门锁；SPCC优质冷扎钢板制作；表面处理: 脱脂、酸洗、磷化、静电喷塑</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副</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操作台</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昌民</w:t>
            </w: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2联</w:t>
            </w: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专用</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副</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其它线材及辅助材料</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国产</w:t>
            </w: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国标</w:t>
            </w: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音响设备专业使用材料</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批</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336"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b/>
                <w:bCs/>
                <w:i w:val="0"/>
                <w:iCs w:val="0"/>
                <w:color w:val="auto"/>
                <w:sz w:val="22"/>
                <w:szCs w:val="22"/>
                <w:u w:val="none"/>
              </w:rPr>
            </w:pPr>
            <w:r>
              <w:rPr>
                <w:rFonts w:hint="eastAsia" w:ascii="宋体" w:hAnsi="宋体" w:eastAsia="宋体" w:cs="宋体"/>
                <w:b/>
                <w:bCs/>
                <w:i w:val="0"/>
                <w:iCs w:val="0"/>
                <w:color w:val="auto"/>
                <w:kern w:val="0"/>
                <w:sz w:val="22"/>
                <w:szCs w:val="22"/>
                <w:u w:val="none"/>
                <w:lang w:val="en-US" w:eastAsia="zh-CN" w:bidi="ar"/>
              </w:rPr>
              <w:t>舞台灯光系统</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auto"/>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auto"/>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auto"/>
                <w:sz w:val="22"/>
                <w:szCs w:val="22"/>
                <w:u w:val="none"/>
              </w:rPr>
            </w:pP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auto"/>
                <w:sz w:val="22"/>
                <w:szCs w:val="22"/>
                <w:u w:val="none"/>
              </w:rPr>
            </w:pP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auto"/>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auto"/>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auto"/>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LED成像灯</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额定电压：AC100～240V，50/60Hz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功耗：200W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光源：54×6W（R54,G54,B54三合一）</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透镜：25°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色温：3200K/6500K（可选）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通道：6/10通道可切换</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显色指数：Ra&gt;90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风机噪音：≤30db</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信号连接：标准线长1.2米连体式信号线输入/输出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电源线连接：标准线长1.2米连体式安全接地三芯电源线输入/输出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接地防护：外置接地安装装置</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调光：0-100%独立电子线性调光，8Bit曲线调光模式，让调光换色过程中，无闪烁、抖动，跳变，调光换色更柔和，摄像更清晰真实。</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频闪：独立电子频闪1-25Hz，可随机频闪，脉冲频闪，同步异步频闪，单色、混色温频闪，速度可调；最慢速：1次/秒 最快速：25次/秒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混色效果：8Bit PWM 、RGBW线性混色，1670万种颜色(0-100%饱和度可调)，内置宏功能,无限的RGBW虚拟颜色混色系统, 模仿色盘功能，颜色动态彩虹效果。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控制模式：国际标准DMX512信号，声控模式，主从同步模式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四位数码管显示功能菜单：内置程序、各种场景模式可以直接调用执行；内置宏功能。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风机调速功能：采用风向引流与温度智能监控技术，能根据灯具启动、使用、关闭光闸、灯具全亮状态使用等实际情况，自动驱动灯具里面的冷却风扇，对灯具部件进行有效的冷却及风力输出，延长灯具使用寿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外观材料：采用高纯度压铸铝，一体压铸成形，散热效果好，灯具厚重结实，抗摔击性强。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工作环境：IP20/室内使用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工作环境温度：-20°C ～40°C</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产品尺寸：310高×300宽×220深mm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重量：4.3Kg</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左右LED全彩染色PAR灯</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"电压: AC100-240V；50/60Hz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总功率: 200W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光源: 18颗12W四合一灯珠</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效果: RGBW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透镜: 45°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调光:线性调光</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协议: DMX512</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控制信号: DMX512，主从机声控，自走程序</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控制通道: 4/8CH</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外壳材料:压铸铝</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防护等级: IP20</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灯具尺寸:300X208X340mm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净重:3.2kg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毛重:4.2kg"</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三合一电脑图案光束灯</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额定电压 : AC100V~240V±10%，50-60Hz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功率 : 500W</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灯泡 : 原装进口优灯 350W 灯泡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色温：7500K</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灯泡寿命：2000小时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点泡系统：远程灯泡控制系统设计，可通过控制台远程智能控制灯泡亮泡与关闭，有效延长灯泡使用寿命。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智能风机调速：灯具在未点泡或频闪闭光状态时，风机自动降速运行，降低风机噪音，营造良好的演出环境。当风机出现故障时，显示屏将提示风机故障，60S内灯具自动灭泡保护,有效防止因风机故障而引起的烧泡或炸泡。</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DMX通道：双通道工作模式，17/21个国际DMX通道可切换</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信号输入：标准三芯/五芯信号插座输入、输出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控制模式：自走、主从、DMX、声控</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显示屏：采用1.8寸LCD液晶显示屏，外置转轮式操作，中英文显示界面，内置重力感应，当倒立安装时，自动翻转倒立显示。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图案盘：1个固定图案盘，14个固定图案+白光，每个图案都有抖动效果，图案盘带正反向快慢流水效果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颜色盘：1个颜色盘，14色+白光，每个颜色片均可与相邻的颜色片做半色效果、均可双向快慢流动。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彩虹盘：内置1个七彩颜色盘，可营制出炫丽的彩虹效果。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双棱镜：15+25+35蜂窝棱镜组合+8棱镜，独特的双棱镜设计，均可相互组合叠加或单独快慢旋转变化，生成奇异特殊多光束效果。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X轴：540°，16Bit</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Y轴：260°，16Bit</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自动纠错：水平垂直均采用光电复位系统，偶碰出错可自动检索复位</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电脑灯信号放大器</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额定电压 : AC110V ～240V，50/60Hz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路数：1路输入，8路输出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尺寸：482长×173宽×44高mm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重量：3kg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外形尺寸 : 1U</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功能简介</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1路DMX512数码输入，8路DMX512独立放大驱动输出。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输入/输出光电隔离。信号放大整形功能，延长信号传输离，增强数据总线接入设备数量的能力。</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功能采用最新光电隔离技术，达到国际先进水平，防止高压回流损害控制台，提高调光控制系统的安全性，稳定性和可靠性。</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输入/输出每路都采用独立的变压器供电及独立的8个光电隔离信号放大来扩大DMX信号输入/输出，放大功能可以令连接延长超过标准的DMX512规定传输距离，独立输入/输出功能有效提高DMX信号传输保真能力及提高DMX信号的搞干扰能力。</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采用信号传输口后置面板设设，整个面板干净整洁，前置面板自带LED信号指示灯系统，可智能实时监控信号传输情况</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采用旋钮式电源供电插座设计，确保设备工作中不出现断电脱落情况</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电脑灯控制台</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额定电压 : AC100V~240V，50/60Hz</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包装尺寸 : 550长×470宽×185高mm</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重量 : 8Kg</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DMX512/1990标准，最大1024个DMX控制通道，四路光电隔离信号输出。</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最大控制96台电脑灯或96路调光使用珍珠灯库（R20格式灯库），且控台上可自行编写灯库。带背光的LCD显示屏，首创的中英文显示可切换内置图形轨迹发生器，有135个内置图形，方便用户对电脑灯进行图形轨迹控制，如画圆、螺旋、彩虹、追逐等多种效果。</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图形参数（如：振幅、速度、间隔、波浪、方向）均可独立设置，更方便快捷的做出想要的造型和场景。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每个场景可保存图形数量5个；同时可运行图形数量10个。</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可储存60个素材，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支独享素材</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 xml:space="preserve">可储存60个重演场景，用于储存多步场景和单步场景。                       </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每个多步场景最多可储存600个单步。</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可同时输出和运行10个重演场景。</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带10根集控推杆。按键点控和推杆集控兼容。</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支持重新配节地址码、垂直水平交换、通道输出反向等功能。</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关机或者突发断电等情况数据可记忆保持。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U盘可备份控台数据，并支持重新导入到控台使用，同型号控台数据可共享。</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内置RDM功能，可通过控制台，直接修改灯具地址码。</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支持远程软件升级，随时随地增加新的功能。</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055" w:type="pct"/>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电源装配箱</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电压：三相五线制AC380V±10％，频率50Hz±5％.</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额定功率：12路×4KW; 每路两个10A插头，可适用于任何负载. 过载与短路双重保护高分断空气开关.输入端子或160A康尼插。</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A.B.C三相工作指示灯. 设两脚和三脚万能备用插座方便使用</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操作说明：</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1.使用前请先接好所需要的供电设备,本产品可直接接入12只X4KW常规舞台灯具</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或12只X4KW电脑特效灯,12路单独控制；</w:t>
            </w:r>
            <w:r>
              <w:rPr>
                <w:rFonts w:hint="eastAsia" w:ascii="宋体" w:hAnsi="宋体" w:eastAsia="宋体" w:cs="宋体"/>
                <w:i w:val="0"/>
                <w:iCs w:val="0"/>
                <w:color w:val="000000"/>
                <w:kern w:val="0"/>
                <w:sz w:val="22"/>
                <w:szCs w:val="22"/>
                <w:u w:val="none"/>
                <w:lang w:val="en-US" w:eastAsia="zh-CN" w:bidi="ar"/>
              </w:rPr>
              <w:br w:type="textWrapping"/>
            </w:r>
            <w:r>
              <w:rPr>
                <w:rFonts w:hint="eastAsia" w:ascii="宋体" w:hAnsi="宋体" w:eastAsia="宋体" w:cs="宋体"/>
                <w:i w:val="0"/>
                <w:iCs w:val="0"/>
                <w:color w:val="000000"/>
                <w:kern w:val="0"/>
                <w:sz w:val="22"/>
                <w:szCs w:val="22"/>
                <w:u w:val="none"/>
                <w:lang w:val="en-US" w:eastAsia="zh-CN" w:bidi="ar"/>
              </w:rPr>
              <w:t>2．再接入AC380V三相电,注意火线（A.B.C）与零线（N）不可接反,接地线(PE)要良好接地,此时面板指示灯亮起,空气开关打到ON状态,这时接入的灯具应亮起</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固定灯光吊杆</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国产</w:t>
            </w: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定制</w:t>
            </w: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专业</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道</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灯具挂钩</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国产</w:t>
            </w:r>
          </w:p>
        </w:tc>
        <w:tc>
          <w:tcPr>
            <w:tcW w:w="49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SR073</w:t>
            </w: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灯具挂钩，承重50KG</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个</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灯具保险绳</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国产</w:t>
            </w: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SR001</w:t>
            </w: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保险绳，承重50KG</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条</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05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电源线</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国产</w:t>
            </w: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国标</w:t>
            </w: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3*2.5</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控制信号线</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国产</w:t>
            </w: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Q-140</w:t>
            </w: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128网</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米</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辅助材料</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绿联</w:t>
            </w: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国标</w:t>
            </w: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跳线、扎带、胶带、安装附件等</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批</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auto"/>
                <w:kern w:val="0"/>
                <w:sz w:val="22"/>
                <w:szCs w:val="22"/>
                <w:u w:val="none"/>
                <w:lang w:val="en-US" w:eastAsia="zh-CN" w:bidi="ar"/>
              </w:rPr>
            </w:pPr>
          </w:p>
        </w:tc>
        <w:tc>
          <w:tcPr>
            <w:tcW w:w="4718" w:type="pct"/>
            <w:gridSpan w:val="9"/>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left"/>
              <w:rPr>
                <w:rFonts w:hint="eastAsia" w:ascii="宋体" w:hAnsi="宋体" w:eastAsia="宋体" w:cs="宋体"/>
                <w:b/>
                <w:bCs/>
                <w:i w:val="0"/>
                <w:iCs w:val="0"/>
                <w:color w:val="auto"/>
                <w:sz w:val="22"/>
                <w:szCs w:val="22"/>
                <w:u w:val="none"/>
                <w:lang w:val="en-US" w:eastAsia="zh-CN" w:bidi="ar-SA"/>
              </w:rPr>
            </w:pPr>
            <w:r>
              <w:rPr>
                <w:rFonts w:hint="eastAsia" w:ascii="宋体" w:hAnsi="宋体" w:eastAsia="宋体" w:cs="宋体"/>
                <w:b/>
                <w:bCs/>
                <w:i w:val="0"/>
                <w:iCs w:val="0"/>
                <w:color w:val="auto"/>
                <w:kern w:val="0"/>
                <w:sz w:val="22"/>
                <w:szCs w:val="22"/>
                <w:u w:val="none"/>
                <w:lang w:val="en-US" w:eastAsia="zh-CN" w:bidi="ar"/>
              </w:rPr>
              <w:t>播音设备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1</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kern w:val="2"/>
                <w:sz w:val="24"/>
                <w:szCs w:val="24"/>
                <w:highlight w:val="none"/>
                <w:lang w:val="en-US" w:eastAsia="zh-CN" w:bidi="ar-SA"/>
              </w:rPr>
            </w:pPr>
            <w:r>
              <w:rPr>
                <w:rFonts w:hint="eastAsia" w:ascii="仿宋_GB2312" w:eastAsia="仿宋_GB2312"/>
                <w:sz w:val="24"/>
                <w:highlight w:val="none"/>
                <w:lang w:val="en-US" w:eastAsia="zh-CN"/>
              </w:rPr>
              <w:t>麦克风</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MERES</w:t>
            </w:r>
            <w:r>
              <w:rPr>
                <w:rFonts w:hint="eastAsia" w:ascii="仿宋_GB2312" w:eastAsia="仿宋_GB2312"/>
                <w:sz w:val="24"/>
                <w:highlight w:val="none"/>
                <w:lang w:val="en-US" w:eastAsia="zh-CN"/>
              </w:rPr>
              <w:t xml:space="preserve"> MY-2006</w:t>
            </w: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电容</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个</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kern w:val="2"/>
                <w:sz w:val="24"/>
                <w:szCs w:val="24"/>
                <w:highlight w:val="none"/>
                <w:lang w:val="en-US" w:eastAsia="zh-CN" w:bidi="ar-SA"/>
              </w:rPr>
            </w:pPr>
            <w:r>
              <w:rPr>
                <w:rFonts w:hint="eastAsia" w:ascii="仿宋_GB2312" w:eastAsia="仿宋_GB2312"/>
                <w:sz w:val="24"/>
                <w:highlight w:val="none"/>
                <w:lang w:val="en-US" w:eastAsia="zh-CN"/>
              </w:rPr>
              <w:t>监听耳机</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Isk</w:t>
            </w:r>
            <w:r>
              <w:rPr>
                <w:rFonts w:hint="eastAsia" w:ascii="仿宋_GB2312" w:eastAsia="仿宋_GB2312"/>
                <w:sz w:val="24"/>
                <w:highlight w:val="none"/>
                <w:lang w:val="en-US" w:eastAsia="zh-CN"/>
              </w:rPr>
              <w:t xml:space="preserve"> HP800</w:t>
            </w: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头戴式</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个</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3</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kern w:val="2"/>
                <w:sz w:val="24"/>
                <w:szCs w:val="24"/>
                <w:highlight w:val="none"/>
                <w:lang w:val="en-US" w:eastAsia="zh-CN" w:bidi="ar-SA"/>
              </w:rPr>
            </w:pPr>
            <w:r>
              <w:rPr>
                <w:rFonts w:hint="eastAsia" w:ascii="仿宋_GB2312" w:eastAsia="仿宋_GB2312"/>
                <w:sz w:val="24"/>
                <w:highlight w:val="none"/>
                <w:lang w:val="en-US" w:eastAsia="zh-CN"/>
              </w:rPr>
              <w:t>调音台</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QHA</w:t>
            </w:r>
            <w:r>
              <w:rPr>
                <w:rFonts w:hint="eastAsia" w:ascii="仿宋_GB2312" w:eastAsia="仿宋_GB2312"/>
                <w:sz w:val="24"/>
                <w:highlight w:val="none"/>
                <w:lang w:val="en-US" w:eastAsia="zh-CN"/>
              </w:rPr>
              <w:t xml:space="preserve"> HD-8</w:t>
            </w: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8路信号</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4</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kern w:val="2"/>
                <w:sz w:val="24"/>
                <w:szCs w:val="24"/>
                <w:highlight w:val="none"/>
                <w:lang w:val="en-US" w:eastAsia="zh-CN" w:bidi="ar-SA"/>
              </w:rPr>
            </w:pPr>
            <w:r>
              <w:rPr>
                <w:rFonts w:hint="eastAsia" w:ascii="仿宋_GB2312" w:eastAsia="仿宋_GB2312"/>
                <w:sz w:val="24"/>
                <w:highlight w:val="none"/>
                <w:lang w:val="en-US" w:eastAsia="zh-CN"/>
              </w:rPr>
              <w:t>操作台</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rPr>
              <w:t>国产</w:t>
            </w:r>
            <w:r>
              <w:rPr>
                <w:rFonts w:hint="eastAsia" w:ascii="仿宋_GB2312" w:eastAsia="仿宋_GB2312"/>
                <w:sz w:val="24"/>
                <w:highlight w:val="none"/>
                <w:lang w:eastAsia="zh-CN"/>
              </w:rPr>
              <w:t>定制</w:t>
            </w: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国产</w:t>
            </w:r>
            <w:r>
              <w:rPr>
                <w:rFonts w:hint="eastAsia" w:ascii="仿宋_GB2312" w:eastAsia="仿宋_GB2312"/>
                <w:sz w:val="24"/>
                <w:highlight w:val="none"/>
                <w:lang w:eastAsia="zh-CN"/>
              </w:rPr>
              <w:t>定制</w:t>
            </w: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1.6*0.8</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张</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5</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kern w:val="2"/>
                <w:sz w:val="24"/>
                <w:szCs w:val="24"/>
                <w:highlight w:val="none"/>
                <w:lang w:val="en-US" w:eastAsia="zh-CN" w:bidi="ar-SA"/>
              </w:rPr>
            </w:pPr>
            <w:r>
              <w:rPr>
                <w:rFonts w:hint="eastAsia" w:ascii="仿宋_GB2312" w:eastAsia="仿宋_GB2312"/>
                <w:sz w:val="24"/>
                <w:highlight w:val="none"/>
                <w:lang w:val="en-US" w:eastAsia="zh-CN"/>
              </w:rPr>
              <w:t>有源音箱</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比利普</w:t>
            </w: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BLP-112</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套</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6</w:t>
            </w:r>
          </w:p>
        </w:tc>
        <w:tc>
          <w:tcPr>
            <w:tcW w:w="105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kern w:val="2"/>
                <w:sz w:val="24"/>
                <w:szCs w:val="24"/>
                <w:highlight w:val="none"/>
                <w:lang w:val="en-US" w:eastAsia="zh-CN" w:bidi="ar-SA"/>
              </w:rPr>
            </w:pPr>
            <w:r>
              <w:rPr>
                <w:rFonts w:hint="eastAsia" w:ascii="仿宋_GB2312" w:eastAsia="仿宋_GB2312"/>
                <w:sz w:val="24"/>
                <w:highlight w:val="none"/>
                <w:lang w:val="en-US" w:eastAsia="zh-CN"/>
              </w:rPr>
              <w:t>功放</w:t>
            </w: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p>
        </w:tc>
        <w:tc>
          <w:tcPr>
            <w:tcW w:w="49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PEK</w:t>
            </w:r>
            <w:r>
              <w:rPr>
                <w:rFonts w:hint="eastAsia" w:ascii="仿宋_GB2312" w:eastAsia="仿宋_GB2312"/>
                <w:sz w:val="24"/>
                <w:highlight w:val="none"/>
                <w:lang w:val="en-US" w:eastAsia="zh-CN"/>
              </w:rPr>
              <w:t xml:space="preserve"> </w:t>
            </w:r>
            <w:r>
              <w:rPr>
                <w:rFonts w:hint="eastAsia" w:ascii="仿宋_GB2312" w:eastAsia="仿宋_GB2312"/>
                <w:sz w:val="24"/>
                <w:highlight w:val="none"/>
              </w:rPr>
              <w:t>AV-6200</w:t>
            </w:r>
          </w:p>
        </w:tc>
        <w:tc>
          <w:tcPr>
            <w:tcW w:w="1140"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b/>
                <w:bCs/>
                <w:i w:val="0"/>
                <w:iCs w:val="0"/>
                <w:color w:val="FF0000"/>
                <w:sz w:val="22"/>
                <w:szCs w:val="22"/>
                <w:u w:val="none"/>
                <w:lang w:val="en-US" w:eastAsia="zh-CN" w:bidi="ar-SA"/>
              </w:rPr>
            </w:pPr>
            <w:r>
              <w:rPr>
                <w:rFonts w:hint="eastAsia" w:ascii="仿宋_GB2312" w:eastAsia="仿宋_GB2312"/>
                <w:sz w:val="24"/>
                <w:highlight w:val="none"/>
              </w:rPr>
              <w:t>外接音响，独立调音</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台</w:t>
            </w:r>
          </w:p>
        </w:tc>
        <w:tc>
          <w:tcPr>
            <w:tcW w:w="281"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仿宋_GB2312" w:eastAsia="仿宋_GB2312" w:hAnsiTheme="minorHAnsi" w:cstheme="minorBidi"/>
                <w:sz w:val="24"/>
                <w:szCs w:val="22"/>
                <w:highlight w:val="none"/>
                <w:lang w:val="en-US" w:eastAsia="zh-CN" w:bidi="ar-SA"/>
              </w:rPr>
            </w:pPr>
            <w:r>
              <w:rPr>
                <w:rFonts w:hint="eastAsia" w:ascii="仿宋_GB2312" w:eastAsia="仿宋_GB2312"/>
                <w:sz w:val="24"/>
                <w:highlight w:val="none"/>
                <w:lang w:val="en-US" w:eastAsia="zh-CN"/>
              </w:rPr>
              <w:t>2</w:t>
            </w: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323"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c>
          <w:tcPr>
            <w:tcW w:w="40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b/>
                <w:bCs/>
                <w:i w:val="0"/>
                <w:iCs w:val="0"/>
                <w:color w:val="FF0000"/>
                <w:sz w:val="22"/>
                <w:szCs w:val="22"/>
                <w:u w:val="none"/>
                <w:lang w:val="en-US" w:eastAsia="zh-CN" w:bidi="ar-SA"/>
              </w:rPr>
            </w:pPr>
          </w:p>
        </w:tc>
      </w:tr>
    </w:tbl>
    <w:p>
      <w:pPr>
        <w:spacing w:line="420" w:lineRule="exact"/>
        <w:jc w:val="both"/>
        <w:rPr>
          <w:rFonts w:hint="eastAsia" w:ascii="仿宋" w:hAnsi="仿宋" w:eastAsia="仿宋"/>
          <w:b/>
          <w:color w:val="FF0000"/>
          <w:sz w:val="32"/>
          <w:szCs w:val="32"/>
          <w:highlight w:val="yellow"/>
        </w:rPr>
      </w:pPr>
    </w:p>
    <w:p>
      <w:pPr>
        <w:pStyle w:val="2"/>
        <w:rPr>
          <w:rFonts w:hint="eastAsia" w:ascii="仿宋" w:hAnsi="仿宋" w:eastAsia="仿宋"/>
          <w:b/>
          <w:color w:val="FF0000"/>
          <w:sz w:val="32"/>
          <w:szCs w:val="32"/>
          <w:highlight w:val="yellow"/>
        </w:rPr>
      </w:pPr>
    </w:p>
    <w:p>
      <w:pPr>
        <w:pStyle w:val="2"/>
        <w:rPr>
          <w:rFonts w:hint="eastAsia" w:ascii="仿宋" w:hAnsi="仿宋" w:eastAsia="仿宋"/>
          <w:b/>
          <w:color w:val="FF0000"/>
          <w:sz w:val="32"/>
          <w:szCs w:val="32"/>
          <w:highlight w:val="yellow"/>
        </w:rPr>
      </w:pPr>
    </w:p>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货物一览表》中所描述的“设备名称”、“规格型号（技术参数）”等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rPr>
        <w:t>参与人所投商品报价应包含税费、运输费、搬运费、整体实施、安装调试费、售后服务等一切费用。</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lang w:eastAsia="zh-CN"/>
        </w:rPr>
        <w:t>免费质保期为</w:t>
      </w:r>
      <w:r>
        <w:rPr>
          <w:rFonts w:hint="eastAsia" w:ascii="仿宋" w:hAnsi="仿宋" w:eastAsia="仿宋"/>
          <w:bCs/>
          <w:sz w:val="24"/>
          <w:szCs w:val="24"/>
          <w:lang w:val="en-US" w:eastAsia="zh-CN"/>
        </w:rPr>
        <w:t>24个月，质保金为合同总价5%，质保期满后30个工作日内退还。</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lang w:val="en-US" w:eastAsia="zh-CN"/>
        </w:rPr>
        <w:t>以上技术参数仅供参考，所报产品技术参数不低于以上配置参数。</w:t>
      </w:r>
    </w:p>
    <w:p>
      <w:pPr>
        <w:numPr>
          <w:ilvl w:val="0"/>
          <w:numId w:val="6"/>
        </w:numPr>
        <w:spacing w:after="0" w:line="440" w:lineRule="exact"/>
        <w:rPr>
          <w:rFonts w:ascii="仿宋" w:hAnsi="仿宋" w:eastAsia="仿宋"/>
          <w:bCs/>
          <w:sz w:val="24"/>
          <w:szCs w:val="24"/>
        </w:rPr>
      </w:pPr>
      <w:r>
        <w:rPr>
          <w:rFonts w:hint="eastAsia" w:ascii="仿宋" w:hAnsi="仿宋" w:eastAsia="仿宋"/>
          <w:bCs/>
          <w:sz w:val="24"/>
          <w:szCs w:val="24"/>
          <w:lang w:val="en-US" w:eastAsia="zh-CN"/>
        </w:rPr>
        <w:t>所报产品品牌必须为国内一线知名品牌。</w:t>
      </w:r>
    </w:p>
    <w:p>
      <w:pPr>
        <w:spacing w:line="500" w:lineRule="exact"/>
        <w:jc w:val="left"/>
        <w:rPr>
          <w:rFonts w:ascii="仿宋" w:hAnsi="仿宋" w:eastAsia="仿宋"/>
          <w:b/>
          <w:color w:val="FF0000"/>
          <w:sz w:val="36"/>
          <w:szCs w:val="36"/>
        </w:rPr>
      </w:pPr>
    </w:p>
    <w:p>
      <w:pPr>
        <w:rPr>
          <w:rFonts w:ascii="仿宋" w:hAnsi="仿宋" w:eastAsia="仿宋"/>
          <w:b/>
          <w:color w:val="FF0000"/>
          <w:sz w:val="36"/>
          <w:szCs w:val="36"/>
        </w:rPr>
        <w:sectPr>
          <w:headerReference r:id="rId4" w:type="first"/>
          <w:headerReference r:id="rId3" w:type="default"/>
          <w:pgSz w:w="11906" w:h="16838"/>
          <w:pgMar w:top="1440" w:right="1133" w:bottom="1440" w:left="993" w:header="851" w:footer="227" w:gutter="0"/>
          <w:pgBorders>
            <w:top w:val="none" w:sz="0" w:space="0"/>
            <w:left w:val="none" w:sz="0" w:space="0"/>
            <w:bottom w:val="none" w:sz="0" w:space="0"/>
            <w:right w:val="none" w:sz="0" w:space="0"/>
          </w:pgBorders>
          <w:cols w:space="425" w:num="1"/>
          <w:titlePg/>
          <w:docGrid w:type="lines" w:linePitch="312" w:charSpace="0"/>
        </w:sectPr>
      </w:pPr>
      <w:r>
        <w:rPr>
          <w:rFonts w:ascii="仿宋" w:hAnsi="仿宋" w:eastAsia="仿宋"/>
          <w:b/>
          <w:color w:val="FF0000"/>
          <w:sz w:val="36"/>
          <w:szCs w:val="36"/>
        </w:rPr>
        <w:br w:type="page"/>
      </w:r>
    </w:p>
    <w:p>
      <w:pPr>
        <w:spacing w:line="1000" w:lineRule="exact"/>
        <w:jc w:val="center"/>
        <w:rPr>
          <w:rFonts w:ascii="仿宋" w:hAnsi="仿宋" w:eastAsia="仿宋"/>
          <w:b/>
          <w:sz w:val="72"/>
          <w:szCs w:val="72"/>
        </w:rPr>
      </w:pPr>
    </w:p>
    <w:p>
      <w:pPr>
        <w:pStyle w:val="2"/>
      </w:pPr>
    </w:p>
    <w:p>
      <w:pPr>
        <w:spacing w:line="1000" w:lineRule="exact"/>
        <w:jc w:val="center"/>
        <w:rPr>
          <w:rFonts w:ascii="仿宋" w:hAnsi="仿宋" w:eastAsia="仿宋"/>
          <w:b/>
          <w:color w:val="auto"/>
          <w:sz w:val="72"/>
          <w:szCs w:val="72"/>
        </w:rPr>
      </w:pPr>
      <w:r>
        <w:rPr>
          <w:rFonts w:hint="eastAsia" w:ascii="仿宋" w:hAnsi="仿宋" w:eastAsia="仿宋"/>
          <w:b/>
          <w:sz w:val="72"/>
          <w:szCs w:val="72"/>
          <w:lang w:val="en-US" w:eastAsia="zh-CN"/>
        </w:rPr>
        <w:t>郑州城</w:t>
      </w:r>
      <w:r>
        <w:rPr>
          <w:rFonts w:hint="eastAsia" w:ascii="仿宋" w:hAnsi="仿宋" w:eastAsia="仿宋"/>
          <w:b/>
          <w:color w:val="auto"/>
          <w:sz w:val="72"/>
          <w:szCs w:val="72"/>
          <w:lang w:val="en-US" w:eastAsia="zh-CN"/>
        </w:rPr>
        <w:t>轨交通中等专业</w:t>
      </w:r>
      <w:r>
        <w:rPr>
          <w:rFonts w:hint="eastAsia" w:ascii="仿宋" w:hAnsi="仿宋" w:eastAsia="仿宋"/>
          <w:b/>
          <w:color w:val="auto"/>
          <w:sz w:val="72"/>
          <w:szCs w:val="72"/>
        </w:rPr>
        <w:t>学校</w:t>
      </w:r>
    </w:p>
    <w:p>
      <w:pPr>
        <w:spacing w:line="1000" w:lineRule="exact"/>
        <w:jc w:val="center"/>
        <w:rPr>
          <w:rFonts w:ascii="仿宋" w:hAnsi="仿宋" w:eastAsia="仿宋"/>
          <w:b/>
          <w:color w:val="auto"/>
          <w:sz w:val="44"/>
          <w:szCs w:val="44"/>
        </w:rPr>
      </w:pPr>
      <w:r>
        <w:rPr>
          <w:rFonts w:hint="eastAsia" w:ascii="仿宋" w:hAnsi="仿宋" w:eastAsia="仿宋"/>
          <w:b/>
          <w:color w:val="auto"/>
          <w:sz w:val="44"/>
          <w:szCs w:val="44"/>
        </w:rPr>
        <w:t>关于X</w:t>
      </w:r>
      <w:r>
        <w:rPr>
          <w:rFonts w:ascii="仿宋" w:hAnsi="仿宋" w:eastAsia="仿宋"/>
          <w:b/>
          <w:color w:val="auto"/>
          <w:sz w:val="44"/>
          <w:szCs w:val="44"/>
        </w:rPr>
        <w:t>XX</w:t>
      </w:r>
      <w:r>
        <w:rPr>
          <w:rFonts w:hint="eastAsia" w:ascii="仿宋" w:hAnsi="仿宋" w:eastAsia="仿宋"/>
          <w:b/>
          <w:color w:val="auto"/>
          <w:sz w:val="44"/>
          <w:szCs w:val="44"/>
        </w:rPr>
        <w:t>项目</w:t>
      </w:r>
    </w:p>
    <w:p>
      <w:pPr>
        <w:spacing w:line="580" w:lineRule="exact"/>
        <w:jc w:val="center"/>
        <w:rPr>
          <w:rFonts w:ascii="仿宋" w:hAnsi="仿宋" w:eastAsia="仿宋"/>
          <w:b/>
          <w:color w:val="auto"/>
          <w:sz w:val="52"/>
          <w:szCs w:val="52"/>
        </w:rPr>
      </w:pP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报</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价</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响</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应</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文</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件</w:t>
      </w:r>
    </w:p>
    <w:p>
      <w:pPr>
        <w:spacing w:line="580" w:lineRule="exact"/>
        <w:jc w:val="center"/>
        <w:rPr>
          <w:rFonts w:ascii="仿宋" w:hAnsi="仿宋" w:eastAsia="仿宋"/>
          <w:b/>
          <w:color w:val="auto"/>
          <w:sz w:val="72"/>
          <w:szCs w:val="72"/>
        </w:rPr>
      </w:pP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参与人名称（公司全称）：</w:t>
      </w:r>
      <w:r>
        <w:rPr>
          <w:rFonts w:ascii="仿宋" w:hAnsi="仿宋" w:eastAsia="仿宋"/>
          <w:b/>
          <w:color w:val="auto"/>
          <w:sz w:val="36"/>
          <w:szCs w:val="36"/>
        </w:rPr>
        <w:t>XXXX</w:t>
      </w: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参与人授权代表：X</w:t>
      </w:r>
      <w:r>
        <w:rPr>
          <w:rFonts w:ascii="仿宋" w:hAnsi="仿宋" w:eastAsia="仿宋"/>
          <w:b/>
          <w:color w:val="auto"/>
          <w:sz w:val="36"/>
          <w:szCs w:val="36"/>
        </w:rPr>
        <w:t>XXX</w:t>
      </w:r>
    </w:p>
    <w:p>
      <w:pPr>
        <w:jc w:val="center"/>
        <w:rPr>
          <w:rFonts w:ascii="仿宋" w:hAnsi="仿宋" w:eastAsia="仿宋"/>
          <w:b/>
          <w:color w:val="auto"/>
          <w:sz w:val="36"/>
          <w:szCs w:val="36"/>
        </w:rPr>
      </w:pPr>
    </w:p>
    <w:p>
      <w:pPr>
        <w:jc w:val="center"/>
        <w:rPr>
          <w:rFonts w:ascii="仿宋" w:hAnsi="仿宋" w:eastAsia="仿宋"/>
          <w:b/>
          <w:bCs/>
          <w:color w:val="auto"/>
          <w:sz w:val="30"/>
          <w:szCs w:val="30"/>
        </w:rPr>
      </w:pPr>
    </w:p>
    <w:p>
      <w:pPr>
        <w:jc w:val="center"/>
        <w:rPr>
          <w:rFonts w:ascii="仿宋" w:hAnsi="仿宋" w:eastAsia="仿宋"/>
          <w:b/>
          <w:bCs/>
          <w:color w:val="auto"/>
          <w:sz w:val="30"/>
          <w:szCs w:val="30"/>
        </w:rPr>
      </w:pPr>
      <w:r>
        <w:rPr>
          <w:rFonts w:hint="eastAsia" w:ascii="仿宋" w:hAnsi="仿宋" w:eastAsia="仿宋"/>
          <w:b/>
          <w:bCs/>
          <w:color w:val="auto"/>
          <w:sz w:val="30"/>
          <w:szCs w:val="30"/>
        </w:rPr>
        <w:t>此封面应作为报价响应文件封面</w:t>
      </w:r>
    </w:p>
    <w:p>
      <w:pPr>
        <w:rPr>
          <w:rFonts w:ascii="仿宋" w:hAnsi="仿宋" w:eastAsia="仿宋"/>
          <w:b/>
          <w:bCs/>
          <w:color w:val="auto"/>
          <w:sz w:val="30"/>
          <w:szCs w:val="30"/>
        </w:rPr>
        <w:sectPr>
          <w:headerReference r:id="rId6" w:type="first"/>
          <w:headerReference r:id="rId5" w:type="default"/>
          <w:type w:val="continuous"/>
          <w:pgSz w:w="11906" w:h="16838"/>
          <w:pgMar w:top="1440" w:right="1416" w:bottom="1440" w:left="1134" w:header="851" w:footer="227" w:gutter="0"/>
          <w:pgBorders>
            <w:top w:val="none" w:sz="0" w:space="0"/>
            <w:left w:val="none" w:sz="0" w:space="0"/>
            <w:bottom w:val="none" w:sz="0" w:space="0"/>
            <w:right w:val="none" w:sz="0" w:space="0"/>
          </w:pgBorders>
          <w:cols w:space="425" w:num="1"/>
          <w:titlePg/>
          <w:docGrid w:type="lines" w:linePitch="312" w:charSpace="0"/>
        </w:sectPr>
      </w:pPr>
    </w:p>
    <w:p>
      <w:pPr>
        <w:jc w:val="center"/>
        <w:outlineLvl w:val="1"/>
        <w:rPr>
          <w:rFonts w:ascii="仿宋" w:hAnsi="仿宋" w:eastAsia="仿宋"/>
          <w:b/>
          <w:bCs/>
          <w:color w:val="auto"/>
          <w:sz w:val="24"/>
          <w:szCs w:val="24"/>
        </w:rPr>
      </w:pPr>
      <w:bookmarkStart w:id="47" w:name="_Toc160880160"/>
      <w:bookmarkStart w:id="48" w:name="_Toc160880529"/>
      <w:bookmarkStart w:id="49" w:name="_Toc169332838"/>
      <w:bookmarkStart w:id="50" w:name="_Toc169332949"/>
      <w:bookmarkStart w:id="51" w:name="_Toc170798793"/>
      <w:bookmarkStart w:id="52" w:name="_Toc177985469"/>
      <w:bookmarkStart w:id="53" w:name="_Toc180302913"/>
      <w:bookmarkStart w:id="54" w:name="_Toc181436461"/>
      <w:bookmarkStart w:id="55" w:name="_Toc181436565"/>
      <w:bookmarkStart w:id="56" w:name="_Toc182372782"/>
      <w:bookmarkStart w:id="57" w:name="_Toc182805217"/>
      <w:bookmarkStart w:id="58" w:name="_Toc191783222"/>
      <w:bookmarkStart w:id="59" w:name="_Toc191789329"/>
      <w:bookmarkStart w:id="60" w:name="_Toc191802690"/>
      <w:bookmarkStart w:id="61" w:name="_Toc191803626"/>
      <w:bookmarkStart w:id="62" w:name="_Toc192663686"/>
      <w:bookmarkStart w:id="63" w:name="_Toc192663835"/>
      <w:bookmarkStart w:id="64" w:name="_Toc192664153"/>
      <w:bookmarkStart w:id="65" w:name="_Toc192996338"/>
      <w:bookmarkStart w:id="66" w:name="_Toc192996446"/>
      <w:bookmarkStart w:id="67" w:name="_Toc193160448"/>
      <w:bookmarkStart w:id="68" w:name="_Toc193165734"/>
      <w:bookmarkStart w:id="69" w:name="_Toc203355733"/>
      <w:bookmarkStart w:id="70" w:name="_Toc211917116"/>
      <w:bookmarkStart w:id="71" w:name="_Toc213208766"/>
      <w:bookmarkStart w:id="72" w:name="_Toc213755858"/>
      <w:bookmarkStart w:id="73" w:name="_Toc213755939"/>
      <w:bookmarkStart w:id="74" w:name="_Toc213755995"/>
      <w:bookmarkStart w:id="75" w:name="_Toc213756051"/>
      <w:bookmarkStart w:id="76" w:name="_Toc217891402"/>
      <w:bookmarkStart w:id="77" w:name="_Toc219800243"/>
      <w:bookmarkStart w:id="78" w:name="_Toc223146608"/>
      <w:bookmarkStart w:id="79" w:name="_Toc225669322"/>
      <w:bookmarkStart w:id="80" w:name="_Toc227058530"/>
      <w:bookmarkStart w:id="81" w:name="_Toc230071147"/>
      <w:bookmarkStart w:id="82" w:name="_Toc232302115"/>
      <w:bookmarkStart w:id="83" w:name="_Toc235437991"/>
      <w:bookmarkStart w:id="84" w:name="_Toc235438274"/>
      <w:bookmarkStart w:id="85" w:name="_Toc235438344"/>
      <w:bookmarkStart w:id="86" w:name="_Toc236021449"/>
      <w:bookmarkStart w:id="87" w:name="_Toc249325711"/>
      <w:bookmarkStart w:id="88" w:name="_Toc251586231"/>
      <w:bookmarkStart w:id="89" w:name="_Toc251613829"/>
      <w:bookmarkStart w:id="90" w:name="_Toc253066614"/>
      <w:bookmarkStart w:id="91" w:name="_Toc254790899"/>
      <w:bookmarkStart w:id="92" w:name="_Toc255975007"/>
      <w:bookmarkStart w:id="93" w:name="_Toc258401256"/>
      <w:bookmarkStart w:id="94" w:name="_Toc259520865"/>
      <w:bookmarkStart w:id="95" w:name="_Toc259692647"/>
      <w:bookmarkStart w:id="96" w:name="_Toc259692740"/>
      <w:bookmarkStart w:id="97" w:name="_Toc266868670"/>
      <w:bookmarkStart w:id="98" w:name="_Toc266868937"/>
      <w:bookmarkStart w:id="99" w:name="_Toc266870432"/>
      <w:bookmarkStart w:id="100" w:name="_Toc266870833"/>
      <w:bookmarkStart w:id="101" w:name="_Toc266870907"/>
      <w:bookmarkStart w:id="102" w:name="_Toc267059030"/>
      <w:bookmarkStart w:id="103" w:name="_Toc267059181"/>
      <w:bookmarkStart w:id="104" w:name="_Toc267059539"/>
      <w:bookmarkStart w:id="105" w:name="_Toc267059653"/>
      <w:bookmarkStart w:id="106" w:name="_Toc267059806"/>
      <w:bookmarkStart w:id="107" w:name="_Toc267059919"/>
      <w:bookmarkStart w:id="108" w:name="_Toc267060068"/>
      <w:bookmarkStart w:id="109" w:name="_Toc267060208"/>
      <w:bookmarkStart w:id="110" w:name="_Toc267060321"/>
      <w:bookmarkStart w:id="111" w:name="_Toc267060453"/>
      <w:bookmarkStart w:id="112" w:name="_Toc273178698"/>
      <w:r>
        <w:rPr>
          <w:rFonts w:hint="eastAsia" w:ascii="仿宋" w:hAnsi="仿宋" w:eastAsia="仿宋"/>
          <w:b/>
          <w:bCs/>
          <w:color w:val="auto"/>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color w:val="auto"/>
          <w:sz w:val="24"/>
          <w:szCs w:val="24"/>
        </w:rPr>
        <w:t>询价响应函</w:t>
      </w:r>
    </w:p>
    <w:p>
      <w:pPr>
        <w:spacing w:after="0" w:line="480" w:lineRule="exact"/>
        <w:rPr>
          <w:rFonts w:hint="eastAsia" w:ascii="仿宋" w:hAnsi="仿宋" w:eastAsia="仿宋"/>
          <w:color w:val="auto"/>
          <w:sz w:val="24"/>
          <w:szCs w:val="24"/>
        </w:rPr>
      </w:pPr>
      <w:r>
        <w:rPr>
          <w:rFonts w:hint="eastAsia" w:ascii="仿宋" w:hAnsi="仿宋" w:eastAsia="仿宋"/>
          <w:color w:val="auto"/>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根据贵学校编号为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项目名称为</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的公开询价邀请，本签字代表</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（全名、职务）正式授权并代表我方</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（参与人公司名称）提交下述文件。</w:t>
      </w:r>
    </w:p>
    <w:p>
      <w:pPr>
        <w:spacing w:after="0" w:line="480" w:lineRule="exact"/>
        <w:ind w:firstLine="480" w:firstLineChars="200"/>
        <w:rPr>
          <w:rFonts w:ascii="仿宋" w:hAnsi="仿宋" w:eastAsia="仿宋"/>
          <w:color w:val="auto"/>
          <w:sz w:val="24"/>
          <w:szCs w:val="24"/>
        </w:rPr>
      </w:pPr>
      <w:r>
        <w:rPr>
          <w:rFonts w:hint="eastAsia" w:ascii="仿宋" w:hAnsi="仿宋" w:eastAsia="仿宋"/>
          <w:color w:val="auto"/>
          <w:sz w:val="24"/>
          <w:szCs w:val="24"/>
        </w:rPr>
        <w:t>(</w:t>
      </w:r>
      <w:r>
        <w:rPr>
          <w:rFonts w:ascii="仿宋" w:hAnsi="仿宋" w:eastAsia="仿宋"/>
          <w:color w:val="auto"/>
          <w:sz w:val="24"/>
          <w:szCs w:val="24"/>
        </w:rPr>
        <w:t>1</w:t>
      </w:r>
      <w:r>
        <w:rPr>
          <w:rFonts w:hint="eastAsia" w:ascii="仿宋" w:hAnsi="仿宋" w:eastAsia="仿宋"/>
          <w:color w:val="auto"/>
          <w:sz w:val="24"/>
          <w:szCs w:val="24"/>
        </w:rPr>
        <w:t>) 报价一览表</w:t>
      </w:r>
    </w:p>
    <w:p>
      <w:pPr>
        <w:spacing w:after="0" w:line="480" w:lineRule="exact"/>
        <w:ind w:firstLine="364" w:firstLineChars="152"/>
        <w:rPr>
          <w:rFonts w:ascii="仿宋" w:hAnsi="仿宋" w:eastAsia="仿宋"/>
          <w:color w:val="auto"/>
          <w:sz w:val="24"/>
          <w:szCs w:val="24"/>
        </w:rPr>
      </w:pPr>
      <w:r>
        <w:rPr>
          <w:rFonts w:hint="eastAsia" w:ascii="仿宋" w:hAnsi="仿宋" w:eastAsia="仿宋"/>
          <w:color w:val="auto"/>
          <w:sz w:val="24"/>
          <w:szCs w:val="24"/>
        </w:rPr>
        <w:t xml:space="preserve"> (</w:t>
      </w:r>
      <w:r>
        <w:rPr>
          <w:rFonts w:ascii="仿宋" w:hAnsi="仿宋" w:eastAsia="仿宋"/>
          <w:color w:val="auto"/>
          <w:sz w:val="24"/>
          <w:szCs w:val="24"/>
        </w:rPr>
        <w:t>2</w:t>
      </w:r>
      <w:r>
        <w:rPr>
          <w:rFonts w:hint="eastAsia" w:ascii="仿宋" w:hAnsi="仿宋" w:eastAsia="仿宋"/>
          <w:color w:val="auto"/>
          <w:sz w:val="24"/>
          <w:szCs w:val="24"/>
        </w:rPr>
        <w:t>) 参与人资质证明</w:t>
      </w:r>
    </w:p>
    <w:p>
      <w:pPr>
        <w:spacing w:after="0" w:line="480" w:lineRule="exact"/>
        <w:ind w:firstLine="480" w:firstLineChars="200"/>
        <w:rPr>
          <w:rFonts w:ascii="仿宋" w:hAnsi="仿宋" w:eastAsia="仿宋"/>
          <w:color w:val="auto"/>
          <w:sz w:val="24"/>
          <w:szCs w:val="24"/>
        </w:rPr>
      </w:pPr>
      <w:r>
        <w:rPr>
          <w:rFonts w:hint="eastAsia" w:ascii="仿宋" w:hAnsi="仿宋" w:eastAsia="仿宋"/>
          <w:color w:val="auto"/>
          <w:sz w:val="24"/>
          <w:szCs w:val="24"/>
        </w:rPr>
        <w:t>据此函，签字代表宣布同意如下：</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1.所附详细报价表中规定的应提供和交付的货物及服务报价总价（国内现场交货价）为人民币 </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，即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（中文表述），交货期为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天</w:t>
      </w:r>
      <w:r>
        <w:rPr>
          <w:rFonts w:ascii="仿宋" w:hAnsi="仿宋" w:eastAsia="仿宋"/>
          <w:color w:val="auto"/>
          <w:sz w:val="24"/>
          <w:szCs w:val="24"/>
        </w:rPr>
        <w:t xml:space="preserve"> </w:t>
      </w:r>
      <w:r>
        <w:rPr>
          <w:rFonts w:hint="eastAsia" w:ascii="仿宋" w:hAnsi="仿宋" w:eastAsia="仿宋"/>
          <w:color w:val="auto"/>
          <w:sz w:val="24"/>
          <w:szCs w:val="24"/>
        </w:rPr>
        <w:t>。</w:t>
      </w:r>
    </w:p>
    <w:p>
      <w:pPr>
        <w:spacing w:after="0" w:line="480" w:lineRule="exact"/>
        <w:ind w:firstLine="480" w:firstLineChars="200"/>
        <w:rPr>
          <w:rFonts w:ascii="仿宋" w:hAnsi="仿宋" w:eastAsia="仿宋"/>
          <w:color w:val="auto"/>
          <w:sz w:val="24"/>
          <w:szCs w:val="24"/>
        </w:rPr>
      </w:pPr>
      <w:r>
        <w:rPr>
          <w:rFonts w:hint="eastAsia" w:ascii="仿宋" w:hAnsi="仿宋" w:eastAsia="仿宋"/>
          <w:color w:val="auto"/>
          <w:sz w:val="24"/>
          <w:szCs w:val="24"/>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color w:val="auto"/>
          <w:sz w:val="24"/>
          <w:szCs w:val="24"/>
        </w:rPr>
      </w:pP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ind w:left="284" w:leftChars="129" w:firstLine="242" w:firstLineChars="101"/>
        <w:rPr>
          <w:rFonts w:ascii="仿宋" w:hAnsi="仿宋" w:eastAsia="仿宋"/>
          <w:color w:val="auto"/>
          <w:sz w:val="24"/>
          <w:szCs w:val="24"/>
          <w:u w:val="single"/>
        </w:rPr>
      </w:pPr>
      <w:r>
        <w:rPr>
          <w:rFonts w:hint="eastAsia" w:ascii="仿宋" w:hAnsi="仿宋" w:eastAsia="仿宋"/>
          <w:color w:val="auto"/>
          <w:sz w:val="24"/>
          <w:szCs w:val="24"/>
        </w:rPr>
        <w:t>参与人（公司全称并加盖公章）：</w:t>
      </w:r>
      <w:r>
        <w:rPr>
          <w:rFonts w:hint="eastAsia" w:ascii="仿宋" w:hAnsi="仿宋" w:eastAsia="仿宋"/>
          <w:color w:val="auto"/>
          <w:sz w:val="24"/>
          <w:szCs w:val="24"/>
          <w:u w:val="single"/>
        </w:rPr>
        <w:t xml:space="preserve">                       </w:t>
      </w:r>
    </w:p>
    <w:p>
      <w:pPr>
        <w:spacing w:after="0" w:line="480" w:lineRule="exact"/>
        <w:ind w:left="284" w:leftChars="129" w:firstLine="242" w:firstLineChars="101"/>
        <w:rPr>
          <w:rFonts w:ascii="仿宋" w:hAnsi="仿宋" w:eastAsia="仿宋"/>
          <w:color w:val="auto"/>
          <w:sz w:val="24"/>
          <w:szCs w:val="24"/>
          <w:u w:val="single"/>
        </w:rPr>
      </w:pPr>
      <w:r>
        <w:rPr>
          <w:rFonts w:hint="eastAsia" w:ascii="仿宋" w:hAnsi="仿宋" w:eastAsia="仿宋"/>
          <w:color w:val="auto"/>
          <w:sz w:val="24"/>
          <w:szCs w:val="24"/>
        </w:rPr>
        <w:t xml:space="preserve">参与人授权代表签字： </w:t>
      </w:r>
      <w:r>
        <w:rPr>
          <w:rFonts w:hint="eastAsia" w:ascii="仿宋" w:hAnsi="仿宋" w:eastAsia="仿宋"/>
          <w:color w:val="auto"/>
          <w:sz w:val="24"/>
          <w:szCs w:val="24"/>
          <w:u w:val="single"/>
        </w:rPr>
        <w:t xml:space="preserve">                </w:t>
      </w:r>
    </w:p>
    <w:p>
      <w:pPr>
        <w:spacing w:after="0" w:line="480" w:lineRule="exact"/>
        <w:ind w:left="284" w:leftChars="129" w:firstLine="242" w:firstLineChars="101"/>
        <w:rPr>
          <w:rFonts w:ascii="仿宋" w:hAnsi="仿宋" w:eastAsia="仿宋"/>
          <w:color w:val="auto"/>
          <w:sz w:val="24"/>
          <w:szCs w:val="24"/>
          <w:u w:val="single"/>
        </w:rPr>
      </w:pPr>
      <w:r>
        <w:rPr>
          <w:rFonts w:hint="eastAsia" w:ascii="仿宋" w:hAnsi="仿宋" w:eastAsia="仿宋"/>
          <w:color w:val="auto"/>
          <w:sz w:val="24"/>
          <w:szCs w:val="24"/>
        </w:rPr>
        <w:t xml:space="preserve">电 </w:t>
      </w:r>
      <w:r>
        <w:rPr>
          <w:rFonts w:ascii="仿宋" w:hAnsi="仿宋" w:eastAsia="仿宋"/>
          <w:color w:val="auto"/>
          <w:sz w:val="24"/>
          <w:szCs w:val="24"/>
        </w:rPr>
        <w:t xml:space="preserve"> </w:t>
      </w:r>
      <w:r>
        <w:rPr>
          <w:rFonts w:hint="eastAsia" w:ascii="仿宋" w:hAnsi="仿宋" w:eastAsia="仿宋"/>
          <w:color w:val="auto"/>
          <w:sz w:val="24"/>
          <w:szCs w:val="24"/>
        </w:rPr>
        <w:t xml:space="preserve">话：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r>
        <w:rPr>
          <w:rFonts w:hint="eastAsia" w:ascii="仿宋" w:hAnsi="仿宋" w:eastAsia="仿宋"/>
          <w:b/>
          <w:bCs/>
          <w:color w:val="auto"/>
          <w:sz w:val="24"/>
          <w:szCs w:val="24"/>
        </w:rPr>
        <w:t>（手机号码）</w:t>
      </w:r>
    </w:p>
    <w:p>
      <w:pPr>
        <w:pStyle w:val="57"/>
        <w:spacing w:line="480" w:lineRule="exact"/>
        <w:ind w:firstLine="480" w:firstLineChars="200"/>
        <w:jc w:val="left"/>
        <w:outlineLvl w:val="9"/>
        <w:rPr>
          <w:rFonts w:ascii="仿宋" w:hAnsi="仿宋" w:eastAsia="仿宋"/>
          <w:color w:val="auto"/>
          <w:sz w:val="24"/>
          <w:szCs w:val="24"/>
        </w:rPr>
      </w:pPr>
      <w:r>
        <w:rPr>
          <w:rFonts w:hint="eastAsia" w:ascii="仿宋" w:hAnsi="仿宋" w:eastAsia="仿宋"/>
          <w:color w:val="auto"/>
          <w:sz w:val="24"/>
          <w:szCs w:val="24"/>
        </w:rPr>
        <w:t xml:space="preserve">日  期：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年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月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日</w:t>
      </w:r>
    </w:p>
    <w:p>
      <w:pPr>
        <w:rPr>
          <w:rFonts w:ascii="仿宋" w:hAnsi="仿宋" w:eastAsia="仿宋" w:cs="Times New Roman"/>
          <w:color w:val="auto"/>
          <w:kern w:val="2"/>
          <w:sz w:val="24"/>
          <w:szCs w:val="24"/>
        </w:rPr>
      </w:pPr>
      <w:r>
        <w:rPr>
          <w:rFonts w:ascii="仿宋" w:hAnsi="仿宋" w:eastAsia="仿宋"/>
          <w:color w:val="auto"/>
          <w:sz w:val="24"/>
          <w:szCs w:val="24"/>
        </w:rPr>
        <w:br w:type="page"/>
      </w: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ascii="仿宋" w:hAnsi="仿宋" w:eastAsia="仿宋"/>
          <w:sz w:val="24"/>
          <w:szCs w:val="24"/>
        </w:rPr>
      </w:pPr>
      <w:r>
        <w:rPr>
          <w:rFonts w:hint="eastAsia" w:ascii="仿宋" w:hAnsi="仿宋" w:eastAsia="仿宋"/>
          <w:sz w:val="24"/>
          <w:szCs w:val="24"/>
        </w:rPr>
        <w:t>货币单位：</w:t>
      </w:r>
    </w:p>
    <w:tbl>
      <w:tblPr>
        <w:tblStyle w:val="24"/>
        <w:tblW w:w="5134" w:type="pct"/>
        <w:tblInd w:w="0" w:type="dxa"/>
        <w:tblLayout w:type="autofit"/>
        <w:tblCellMar>
          <w:top w:w="0" w:type="dxa"/>
          <w:left w:w="108" w:type="dxa"/>
          <w:bottom w:w="0" w:type="dxa"/>
          <w:right w:w="108" w:type="dxa"/>
        </w:tblCellMar>
      </w:tblPr>
      <w:tblGrid>
        <w:gridCol w:w="721"/>
        <w:gridCol w:w="1160"/>
        <w:gridCol w:w="2713"/>
        <w:gridCol w:w="739"/>
        <w:gridCol w:w="615"/>
        <w:gridCol w:w="859"/>
        <w:gridCol w:w="983"/>
        <w:gridCol w:w="1024"/>
        <w:gridCol w:w="1015"/>
      </w:tblGrid>
      <w:tr>
        <w:tblPrEx>
          <w:tblCellMar>
            <w:top w:w="0" w:type="dxa"/>
            <w:left w:w="108" w:type="dxa"/>
            <w:bottom w:w="0" w:type="dxa"/>
            <w:right w:w="108" w:type="dxa"/>
          </w:tblCellMar>
        </w:tblPrEx>
        <w:trPr>
          <w:trHeight w:val="492" w:hRule="atLeast"/>
        </w:trPr>
        <w:tc>
          <w:tcPr>
            <w:tcW w:w="36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序号</w:t>
            </w:r>
          </w:p>
        </w:tc>
        <w:tc>
          <w:tcPr>
            <w:tcW w:w="590"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设备名称</w:t>
            </w:r>
          </w:p>
        </w:tc>
        <w:tc>
          <w:tcPr>
            <w:tcW w:w="1380"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规格型号（技术参数）</w:t>
            </w:r>
          </w:p>
        </w:tc>
        <w:tc>
          <w:tcPr>
            <w:tcW w:w="376"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单位</w:t>
            </w:r>
          </w:p>
        </w:tc>
        <w:tc>
          <w:tcPr>
            <w:tcW w:w="313"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数量</w:t>
            </w:r>
          </w:p>
        </w:tc>
        <w:tc>
          <w:tcPr>
            <w:tcW w:w="437"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单价（元）</w:t>
            </w:r>
          </w:p>
        </w:tc>
        <w:tc>
          <w:tcPr>
            <w:tcW w:w="500"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总价（元）</w:t>
            </w:r>
          </w:p>
        </w:tc>
        <w:tc>
          <w:tcPr>
            <w:tcW w:w="521" w:type="pct"/>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FF0000"/>
                <w:sz w:val="20"/>
                <w:szCs w:val="20"/>
                <w:lang w:eastAsia="zh-CN"/>
              </w:rPr>
            </w:pPr>
            <w:r>
              <w:rPr>
                <w:rFonts w:hint="eastAsia" w:ascii="仿宋" w:hAnsi="仿宋" w:eastAsia="仿宋" w:cs="Tahoma"/>
                <w:b/>
                <w:bCs/>
                <w:color w:val="000000" w:themeColor="text1"/>
                <w:sz w:val="20"/>
                <w:szCs w:val="20"/>
                <w:lang w:eastAsia="zh-CN"/>
                <w14:textFill>
                  <w14:solidFill>
                    <w14:schemeClr w14:val="tx1"/>
                  </w14:solidFill>
                </w14:textFill>
              </w:rPr>
              <w:t>品牌</w:t>
            </w: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rPr>
              <w:t>备注</w:t>
            </w: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1</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2</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3</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4</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5</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6</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7</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rPr>
              <w:t>8</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000000"/>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000000"/>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FF0000"/>
                <w:sz w:val="20"/>
                <w:szCs w:val="20"/>
              </w:rPr>
            </w:pP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000000"/>
                <w:sz w:val="20"/>
                <w:szCs w:val="20"/>
              </w:rPr>
            </w:pPr>
          </w:p>
        </w:tc>
      </w:tr>
    </w:tbl>
    <w:p>
      <w:pPr>
        <w:spacing w:line="380" w:lineRule="exact"/>
        <w:ind w:left="147" w:leftChars="67"/>
        <w:rPr>
          <w:rFonts w:ascii="仿宋" w:hAnsi="仿宋" w:eastAsia="仿宋"/>
          <w:sz w:val="24"/>
          <w:szCs w:val="24"/>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pgBorders>
            <w:top w:val="none" w:sz="0" w:space="0"/>
            <w:left w:val="none" w:sz="0" w:space="0"/>
            <w:bottom w:val="none" w:sz="0" w:space="0"/>
            <w:right w:val="none" w:sz="0" w:space="0"/>
          </w:pgBorders>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160880534"/>
      <w:bookmarkStart w:id="114" w:name="_Toc169332843"/>
      <w:bookmarkStart w:id="115" w:name="_Toc169332954"/>
      <w:bookmarkStart w:id="116" w:name="_Toc170798798"/>
      <w:bookmarkStart w:id="117" w:name="_Toc177985474"/>
      <w:bookmarkStart w:id="118" w:name="_Toc251613839"/>
      <w:bookmarkStart w:id="119" w:name="_Toc180302918"/>
      <w:bookmarkStart w:id="120" w:name="_Toc181436466"/>
      <w:bookmarkStart w:id="121" w:name="_Toc181436570"/>
      <w:bookmarkStart w:id="122" w:name="_Toc182372787"/>
      <w:bookmarkStart w:id="123" w:name="_Toc182805222"/>
      <w:bookmarkStart w:id="124" w:name="_Toc191783227"/>
      <w:bookmarkStart w:id="125" w:name="_Toc191789334"/>
      <w:bookmarkStart w:id="126" w:name="_Toc191802695"/>
      <w:bookmarkStart w:id="127" w:name="_Toc191803631"/>
      <w:bookmarkStart w:id="128" w:name="_Toc192663691"/>
      <w:bookmarkStart w:id="129" w:name="_Toc192663840"/>
      <w:bookmarkStart w:id="130" w:name="_Toc192664158"/>
      <w:bookmarkStart w:id="131" w:name="_Toc192996343"/>
      <w:bookmarkStart w:id="132" w:name="_Toc253066624"/>
      <w:bookmarkStart w:id="133" w:name="_Toc203355738"/>
      <w:bookmarkStart w:id="134" w:name="_Toc192996451"/>
      <w:bookmarkStart w:id="135" w:name="_Toc193160453"/>
      <w:bookmarkStart w:id="136" w:name="_Toc193165739"/>
      <w:bookmarkStart w:id="137" w:name="_Toc211917121"/>
      <w:bookmarkStart w:id="138" w:name="_Toc213755864"/>
      <w:bookmarkStart w:id="139" w:name="_Toc213755945"/>
      <w:bookmarkStart w:id="140" w:name="_Toc213756001"/>
      <w:bookmarkStart w:id="141" w:name="_Toc213756057"/>
      <w:bookmarkStart w:id="142" w:name="_Toc217891408"/>
      <w:bookmarkStart w:id="143" w:name="_Toc219800249"/>
      <w:bookmarkStart w:id="144" w:name="_Toc223146614"/>
      <w:bookmarkStart w:id="145" w:name="_Toc225669328"/>
      <w:bookmarkStart w:id="146" w:name="_Toc227058536"/>
      <w:bookmarkStart w:id="147" w:name="_Toc230071153"/>
      <w:bookmarkStart w:id="148" w:name="_Toc232302122"/>
      <w:bookmarkStart w:id="149" w:name="_Toc235437998"/>
      <w:bookmarkStart w:id="150" w:name="_Toc235438281"/>
      <w:bookmarkStart w:id="151" w:name="_Toc235438352"/>
      <w:bookmarkStart w:id="152" w:name="_Toc236021457"/>
      <w:bookmarkStart w:id="153" w:name="_Toc160880165"/>
      <w:bookmarkStart w:id="154" w:name="_Toc213208771"/>
      <w:bookmarkStart w:id="155" w:name="_Toc249325720"/>
      <w:bookmarkStart w:id="156" w:name="_Toc254790909"/>
      <w:bookmarkStart w:id="157" w:name="_Toc255975016"/>
      <w:bookmarkStart w:id="158" w:name="_Toc258401265"/>
      <w:bookmarkStart w:id="159" w:name="_Toc251586241"/>
      <w:bookmarkStart w:id="160" w:name="_Toc259520874"/>
      <w:bookmarkStart w:id="161" w:name="_Toc259692656"/>
      <w:bookmarkStart w:id="162" w:name="_Toc259692749"/>
      <w:bookmarkStart w:id="163" w:name="_Toc266868679"/>
      <w:bookmarkStart w:id="164" w:name="_Toc266868943"/>
      <w:bookmarkStart w:id="165" w:name="_Toc266870441"/>
      <w:bookmarkStart w:id="166" w:name="_Toc266870839"/>
      <w:bookmarkStart w:id="167" w:name="_Toc266870916"/>
      <w:bookmarkStart w:id="168" w:name="_Toc267059035"/>
      <w:bookmarkStart w:id="169" w:name="_Toc267059186"/>
      <w:bookmarkStart w:id="170" w:name="_Toc267059544"/>
      <w:bookmarkStart w:id="171" w:name="_Toc267059658"/>
      <w:bookmarkStart w:id="172" w:name="_Toc267059811"/>
      <w:bookmarkStart w:id="173" w:name="_Toc267059924"/>
      <w:bookmarkStart w:id="174" w:name="_Toc267060076"/>
      <w:bookmarkStart w:id="175" w:name="_Toc267060216"/>
      <w:bookmarkStart w:id="176" w:name="_Toc267060326"/>
      <w:bookmarkStart w:id="177" w:name="_Toc267060461"/>
      <w:bookmarkStart w:id="178" w:name="_Toc273178703"/>
    </w:p>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Pr>
        <w:spacing w:after="0" w:line="380" w:lineRule="exact"/>
        <w:jc w:val="center"/>
        <w:rPr>
          <w:rFonts w:ascii="仿宋" w:hAnsi="仿宋" w:eastAsia="仿宋"/>
          <w:b/>
          <w:sz w:val="28"/>
          <w:szCs w:val="28"/>
        </w:rPr>
      </w:pPr>
      <w:r>
        <w:rPr>
          <w:rFonts w:hint="eastAsia" w:ascii="仿宋" w:hAnsi="仿宋" w:eastAsia="仿宋"/>
          <w:b/>
          <w:sz w:val="28"/>
          <w:szCs w:val="28"/>
          <w:lang w:val="en-US" w:eastAsia="zh-CN"/>
        </w:rPr>
        <w:t>3</w:t>
      </w:r>
      <w:r>
        <w:rPr>
          <w:rFonts w:hint="eastAsia" w:ascii="仿宋" w:hAnsi="仿宋" w:eastAsia="仿宋"/>
          <w:b/>
          <w:sz w:val="28"/>
          <w:szCs w:val="28"/>
        </w:rPr>
        <w:t>-</w:t>
      </w:r>
      <w:r>
        <w:rPr>
          <w:rFonts w:hint="eastAsia" w:ascii="仿宋" w:hAnsi="仿宋" w:eastAsia="仿宋"/>
          <w:b/>
          <w:sz w:val="28"/>
          <w:szCs w:val="28"/>
          <w:lang w:val="en-US" w:eastAsia="zh-CN"/>
        </w:rPr>
        <w:t>1</w:t>
      </w:r>
      <w:r>
        <w:rPr>
          <w:rFonts w:hint="eastAsia" w:ascii="仿宋" w:hAnsi="仿宋" w:eastAsia="仿宋"/>
          <w:b/>
          <w:sz w:val="28"/>
          <w:szCs w:val="28"/>
        </w:rPr>
        <w:t>法定代表人授权书</w:t>
      </w:r>
      <w:r>
        <w:rPr>
          <w:rFonts w:hint="eastAsia" w:ascii="仿宋" w:hAnsi="仿宋" w:eastAsia="仿宋"/>
          <w:b/>
          <w:sz w:val="28"/>
          <w:szCs w:val="28"/>
        </w:rPr>
        <w:cr/>
      </w:r>
    </w:p>
    <w:p>
      <w:pPr>
        <w:spacing w:line="500" w:lineRule="exact"/>
        <w:rPr>
          <w:rFonts w:ascii="仿宋" w:hAnsi="仿宋" w:eastAsia="仿宋"/>
          <w:sz w:val="28"/>
          <w:szCs w:val="28"/>
        </w:rPr>
      </w:pPr>
      <w:r>
        <w:rPr>
          <w:rFonts w:hint="eastAsia" w:ascii="仿宋" w:hAnsi="仿宋" w:eastAsia="仿宋"/>
          <w:sz w:val="28"/>
          <w:szCs w:val="28"/>
          <w:lang w:eastAsia="zh-CN"/>
        </w:rPr>
        <w:t>郑州城轨交通中等专业学校</w:t>
      </w:r>
      <w:r>
        <w:rPr>
          <w:rFonts w:hint="eastAsia" w:ascii="仿宋" w:hAnsi="仿宋" w:eastAsia="仿宋"/>
          <w:sz w:val="28"/>
          <w:szCs w:val="28"/>
        </w:rPr>
        <w:t>：</w:t>
      </w:r>
    </w:p>
    <w:p>
      <w:pPr>
        <w:autoSpaceDE w:val="0"/>
        <w:autoSpaceDN w:val="0"/>
        <w:adjustRightInd w:val="0"/>
        <w:spacing w:line="500" w:lineRule="exact"/>
        <w:ind w:firstLine="560" w:firstLineChars="200"/>
        <w:jc w:val="left"/>
        <w:rPr>
          <w:rFonts w:ascii="仿宋" w:hAnsi="仿宋" w:eastAsia="仿宋"/>
          <w:sz w:val="28"/>
          <w:szCs w:val="28"/>
        </w:rPr>
      </w:pPr>
      <w:r>
        <w:rPr>
          <w:rFonts w:hint="eastAsia" w:ascii="仿宋" w:hAnsi="仿宋" w:eastAsia="仿宋"/>
          <w:sz w:val="28"/>
          <w:szCs w:val="28"/>
          <w:u w:val="single"/>
          <w:lang w:val="zh-CN"/>
        </w:rPr>
        <w:t>（参与人全称）</w:t>
      </w:r>
      <w:r>
        <w:rPr>
          <w:rFonts w:hint="eastAsia" w:ascii="仿宋" w:hAnsi="仿宋" w:eastAsia="仿宋"/>
          <w:sz w:val="28"/>
          <w:szCs w:val="28"/>
          <w:lang w:val="zh-CN"/>
        </w:rPr>
        <w:t>法定代表人</w:t>
      </w:r>
      <w:r>
        <w:rPr>
          <w:rFonts w:hint="eastAsia" w:ascii="仿宋" w:hAnsi="仿宋" w:eastAsia="仿宋"/>
          <w:sz w:val="28"/>
          <w:szCs w:val="28"/>
          <w:u w:val="single"/>
        </w:rPr>
        <w:t xml:space="preserve"> （姓名）、</w:t>
      </w:r>
      <w:r>
        <w:rPr>
          <w:rFonts w:hint="eastAsia" w:ascii="仿宋" w:hAnsi="仿宋" w:eastAsia="仿宋"/>
          <w:sz w:val="28"/>
          <w:szCs w:val="28"/>
        </w:rPr>
        <w:t xml:space="preserve"> </w:t>
      </w:r>
      <w:r>
        <w:rPr>
          <w:rFonts w:hint="eastAsia" w:ascii="仿宋" w:hAnsi="仿宋" w:eastAsia="仿宋"/>
          <w:sz w:val="28"/>
          <w:szCs w:val="28"/>
          <w:u w:val="single"/>
        </w:rPr>
        <w:t xml:space="preserve">  （身份证号）  </w:t>
      </w:r>
      <w:r>
        <w:rPr>
          <w:rFonts w:hint="eastAsia" w:ascii="仿宋" w:hAnsi="仿宋" w:eastAsia="仿宋"/>
          <w:sz w:val="28"/>
          <w:szCs w:val="28"/>
          <w:lang w:val="zh-CN"/>
        </w:rPr>
        <w:t>授权</w:t>
      </w:r>
      <w:r>
        <w:rPr>
          <w:rFonts w:hint="eastAsia" w:ascii="仿宋" w:hAnsi="仿宋" w:eastAsia="仿宋"/>
          <w:sz w:val="28"/>
          <w:szCs w:val="28"/>
          <w:u w:val="single"/>
        </w:rPr>
        <w:t xml:space="preserve"> </w:t>
      </w:r>
      <w:r>
        <w:rPr>
          <w:rFonts w:hint="eastAsia" w:ascii="仿宋" w:hAnsi="仿宋" w:eastAsia="仿宋"/>
          <w:sz w:val="28"/>
          <w:szCs w:val="28"/>
          <w:u w:val="single"/>
          <w:lang w:val="zh-CN"/>
        </w:rPr>
        <w:t>（报价授权代表姓名）</w:t>
      </w:r>
      <w:r>
        <w:rPr>
          <w:rFonts w:hint="eastAsia" w:ascii="仿宋" w:hAnsi="仿宋" w:eastAsia="仿宋"/>
          <w:sz w:val="28"/>
          <w:szCs w:val="28"/>
          <w:lang w:val="zh-CN"/>
        </w:rPr>
        <w:t>为参与人代表，代表本公司参加贵司组织的</w:t>
      </w:r>
      <w:r>
        <w:rPr>
          <w:rFonts w:hint="eastAsia" w:ascii="仿宋" w:hAnsi="仿宋" w:eastAsia="仿宋"/>
          <w:sz w:val="28"/>
          <w:szCs w:val="28"/>
          <w:u w:val="single"/>
        </w:rPr>
        <w:t xml:space="preserve">            </w:t>
      </w:r>
      <w:r>
        <w:rPr>
          <w:rFonts w:hint="eastAsia" w:ascii="仿宋" w:hAnsi="仿宋" w:eastAsia="仿宋"/>
          <w:sz w:val="28"/>
          <w:szCs w:val="28"/>
          <w:lang w:val="zh-CN"/>
        </w:rPr>
        <w:t>项目（项目编号</w:t>
      </w:r>
      <w:r>
        <w:rPr>
          <w:rFonts w:hint="eastAsia" w:ascii="仿宋" w:hAnsi="仿宋" w:eastAsia="仿宋"/>
          <w:sz w:val="28"/>
          <w:szCs w:val="28"/>
          <w:u w:val="single"/>
        </w:rPr>
        <w:t xml:space="preserve">       </w:t>
      </w:r>
      <w:r>
        <w:rPr>
          <w:rFonts w:hint="eastAsia" w:ascii="仿宋" w:hAnsi="仿宋" w:eastAsia="仿宋"/>
          <w:sz w:val="28"/>
          <w:szCs w:val="28"/>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560" w:firstLineChars="200"/>
        <w:jc w:val="left"/>
        <w:rPr>
          <w:rFonts w:ascii="仿宋" w:hAnsi="仿宋" w:eastAsia="仿宋"/>
          <w:sz w:val="28"/>
          <w:szCs w:val="28"/>
        </w:rPr>
      </w:pPr>
      <w:r>
        <w:rPr>
          <w:rFonts w:hint="eastAsia" w:ascii="仿宋" w:hAnsi="仿宋" w:eastAsia="仿宋"/>
          <w:sz w:val="28"/>
          <w:szCs w:val="28"/>
          <w:lang w:val="zh-CN"/>
        </w:rPr>
        <w:t>本授权书自出具之日起生效。</w:t>
      </w:r>
    </w:p>
    <w:p>
      <w:pPr>
        <w:autoSpaceDE w:val="0"/>
        <w:autoSpaceDN w:val="0"/>
        <w:adjustRightInd w:val="0"/>
        <w:spacing w:line="500" w:lineRule="exact"/>
        <w:rPr>
          <w:rFonts w:ascii="仿宋" w:hAnsi="仿宋" w:eastAsia="仿宋"/>
          <w:sz w:val="28"/>
          <w:szCs w:val="28"/>
        </w:rPr>
      </w:pPr>
    </w:p>
    <w:p>
      <w:pPr>
        <w:spacing w:after="0" w:line="500" w:lineRule="exact"/>
        <w:rPr>
          <w:rFonts w:ascii="仿宋" w:hAnsi="仿宋" w:eastAsia="仿宋"/>
          <w:sz w:val="28"/>
          <w:szCs w:val="28"/>
        </w:rPr>
      </w:pPr>
      <w:r>
        <w:rPr>
          <w:rFonts w:ascii="仿宋" w:hAnsi="仿宋" w:eastAsia="仿宋"/>
          <w:sz w:val="28"/>
          <w:szCs w:val="28"/>
        </w:rPr>
        <w:t>法定代表人签</w:t>
      </w:r>
      <w:r>
        <w:rPr>
          <w:rFonts w:hint="eastAsia" w:ascii="仿宋" w:hAnsi="仿宋" w:eastAsia="仿宋"/>
          <w:sz w:val="28"/>
          <w:szCs w:val="28"/>
        </w:rPr>
        <w:t>字</w:t>
      </w:r>
      <w:r>
        <w:rPr>
          <w:rFonts w:ascii="仿宋" w:hAnsi="仿宋" w:eastAsia="仿宋"/>
          <w:sz w:val="28"/>
          <w:szCs w:val="28"/>
        </w:rPr>
        <w:t>：</w:t>
      </w:r>
    </w:p>
    <w:p>
      <w:pPr>
        <w:spacing w:after="0" w:line="500" w:lineRule="exact"/>
        <w:rPr>
          <w:rFonts w:ascii="仿宋" w:hAnsi="仿宋" w:eastAsia="仿宋"/>
          <w:sz w:val="28"/>
          <w:szCs w:val="28"/>
        </w:rPr>
      </w:pPr>
      <w:r>
        <w:rPr>
          <w:rFonts w:hint="eastAsia" w:ascii="仿宋" w:hAnsi="仿宋" w:eastAsia="仿宋"/>
          <w:sz w:val="28"/>
          <w:szCs w:val="28"/>
        </w:rPr>
        <w:t>参与人</w:t>
      </w:r>
      <w:r>
        <w:rPr>
          <w:rFonts w:ascii="仿宋" w:hAnsi="仿宋" w:eastAsia="仿宋"/>
          <w:sz w:val="28"/>
          <w:szCs w:val="28"/>
        </w:rPr>
        <w:t>(公章)：</w:t>
      </w:r>
    </w:p>
    <w:p>
      <w:pPr>
        <w:spacing w:after="0" w:line="500" w:lineRule="exact"/>
        <w:rPr>
          <w:rFonts w:ascii="仿宋" w:hAnsi="仿宋" w:eastAsia="仿宋"/>
          <w:sz w:val="28"/>
          <w:szCs w:val="28"/>
        </w:rPr>
      </w:pPr>
      <w:r>
        <w:rPr>
          <w:rFonts w:ascii="仿宋" w:hAnsi="仿宋" w:eastAsia="仿宋"/>
          <w:sz w:val="28"/>
          <w:szCs w:val="28"/>
        </w:rPr>
        <w:t>日  期：</w:t>
      </w:r>
    </w:p>
    <w:p>
      <w:pPr>
        <w:spacing w:after="0" w:line="500" w:lineRule="exact"/>
        <w:rPr>
          <w:rFonts w:ascii="仿宋" w:hAnsi="仿宋" w:eastAsia="仿宋"/>
          <w:sz w:val="28"/>
          <w:szCs w:val="28"/>
        </w:rPr>
      </w:pPr>
      <w:r>
        <w:rPr>
          <w:rFonts w:ascii="仿宋" w:hAnsi="仿宋" w:eastAsia="仿宋"/>
          <w:sz w:val="28"/>
          <w:szCs w:val="28"/>
        </w:rPr>
        <w:t>附:</w:t>
      </w:r>
    </w:p>
    <w:p>
      <w:pPr>
        <w:spacing w:after="0" w:line="500" w:lineRule="exact"/>
        <w:rPr>
          <w:rFonts w:ascii="仿宋" w:hAnsi="仿宋" w:eastAsia="仿宋"/>
          <w:sz w:val="28"/>
          <w:szCs w:val="28"/>
        </w:rPr>
      </w:pPr>
      <w:r>
        <w:rPr>
          <w:rFonts w:hint="eastAsia" w:ascii="仿宋" w:hAnsi="仿宋" w:eastAsia="仿宋"/>
          <w:sz w:val="28"/>
          <w:szCs w:val="28"/>
        </w:rPr>
        <w:t>报价授权委托人</w:t>
      </w:r>
      <w:r>
        <w:rPr>
          <w:rFonts w:ascii="仿宋" w:hAnsi="仿宋" w:eastAsia="仿宋"/>
          <w:sz w:val="28"/>
          <w:szCs w:val="28"/>
        </w:rPr>
        <w:t>姓名：</w:t>
      </w:r>
      <w:r>
        <w:rPr>
          <w:rFonts w:hint="eastAsia" w:ascii="仿宋" w:hAnsi="仿宋" w:eastAsia="仿宋"/>
          <w:sz w:val="28"/>
          <w:szCs w:val="28"/>
        </w:rPr>
        <w:t>（签字）</w:t>
      </w:r>
    </w:p>
    <w:p>
      <w:pPr>
        <w:spacing w:after="0" w:line="500" w:lineRule="exact"/>
        <w:rPr>
          <w:rFonts w:ascii="仿宋" w:hAnsi="仿宋" w:eastAsia="仿宋"/>
          <w:sz w:val="28"/>
          <w:szCs w:val="28"/>
        </w:rPr>
      </w:pPr>
      <w:r>
        <w:rPr>
          <w:rFonts w:ascii="仿宋" w:hAnsi="仿宋" w:eastAsia="仿宋"/>
          <w:sz w:val="28"/>
          <w:szCs w:val="28"/>
        </w:rPr>
        <w:t>职        务：</w:t>
      </w:r>
    </w:p>
    <w:p>
      <w:pPr>
        <w:spacing w:after="0" w:line="500" w:lineRule="exact"/>
        <w:rPr>
          <w:rFonts w:ascii="仿宋" w:hAnsi="仿宋" w:eastAsia="仿宋"/>
          <w:sz w:val="28"/>
          <w:szCs w:val="28"/>
        </w:rPr>
      </w:pPr>
      <w:r>
        <w:rPr>
          <w:rFonts w:ascii="仿宋" w:hAnsi="仿宋" w:eastAsia="仿宋"/>
          <w:sz w:val="28"/>
          <w:szCs w:val="28"/>
        </w:rPr>
        <w:t>详细通讯地址：</w:t>
      </w:r>
    </w:p>
    <w:p>
      <w:pPr>
        <w:spacing w:after="0" w:line="500" w:lineRule="exact"/>
        <w:rPr>
          <w:rFonts w:ascii="仿宋" w:hAnsi="仿宋" w:eastAsia="仿宋"/>
          <w:sz w:val="28"/>
          <w:szCs w:val="28"/>
        </w:rPr>
      </w:pPr>
      <w:r>
        <w:rPr>
          <w:rFonts w:ascii="仿宋" w:hAnsi="仿宋" w:eastAsia="仿宋"/>
          <w:sz w:val="28"/>
          <w:szCs w:val="28"/>
        </w:rPr>
        <w:t>邮 政 编 码 ：</w:t>
      </w:r>
    </w:p>
    <w:p>
      <w:pPr>
        <w:spacing w:after="0" w:line="500" w:lineRule="exact"/>
        <w:rPr>
          <w:rFonts w:ascii="仿宋" w:hAnsi="仿宋" w:eastAsia="仿宋"/>
          <w:sz w:val="28"/>
          <w:szCs w:val="28"/>
        </w:rPr>
      </w:pPr>
      <w:r>
        <w:rPr>
          <w:rFonts w:ascii="仿宋" w:hAnsi="仿宋" w:eastAsia="仿宋"/>
          <w:sz w:val="28"/>
          <w:szCs w:val="28"/>
        </w:rPr>
        <w:t>传        真：</w:t>
      </w:r>
    </w:p>
    <w:p>
      <w:pPr>
        <w:spacing w:after="0" w:line="500" w:lineRule="exact"/>
        <w:rPr>
          <w:rFonts w:ascii="仿宋" w:hAnsi="仿宋" w:eastAsia="仿宋"/>
          <w:sz w:val="28"/>
          <w:szCs w:val="28"/>
        </w:rPr>
      </w:pPr>
      <w:r>
        <w:rPr>
          <w:rFonts w:ascii="仿宋" w:hAnsi="仿宋" w:eastAsia="仿宋"/>
          <w:sz w:val="28"/>
          <w:szCs w:val="28"/>
        </w:rPr>
        <w:t>电        话：</w:t>
      </w:r>
    </w:p>
    <w:p>
      <w:pPr>
        <w:spacing w:after="0" w:line="500" w:lineRule="exact"/>
        <w:jc w:val="left"/>
        <w:outlineLvl w:val="1"/>
        <w:rPr>
          <w:rFonts w:ascii="仿宋" w:hAnsi="仿宋" w:eastAsia="仿宋"/>
          <w:b/>
          <w:bCs/>
          <w:sz w:val="28"/>
          <w:szCs w:val="28"/>
        </w:rPr>
      </w:pPr>
      <w:r>
        <w:rPr>
          <w:rFonts w:hint="eastAsia" w:ascii="仿宋" w:hAnsi="仿宋" w:eastAsia="仿宋"/>
          <w:b/>
          <w:sz w:val="28"/>
          <w:szCs w:val="28"/>
          <w:lang w:val="zh-CN"/>
        </w:rPr>
        <w:t>附：被授权人身份证件</w:t>
      </w:r>
    </w:p>
    <w:p>
      <w:pPr>
        <w:rPr>
          <w:rFonts w:ascii="仿宋" w:hAnsi="仿宋" w:eastAsia="仿宋"/>
          <w:b/>
          <w:sz w:val="28"/>
          <w:szCs w:val="28"/>
        </w:rPr>
      </w:pPr>
      <w:r>
        <w:rPr>
          <w:rFonts w:ascii="仿宋" w:hAnsi="仿宋" w:eastAsia="仿宋"/>
          <w:b/>
          <w:sz w:val="28"/>
          <w:szCs w:val="28"/>
        </w:rPr>
        <w:br w:type="page"/>
      </w:r>
    </w:p>
    <w:p>
      <w:pPr>
        <w:jc w:val="center"/>
        <w:outlineLvl w:val="1"/>
        <w:rPr>
          <w:rFonts w:ascii="仿宋" w:hAnsi="仿宋" w:eastAsia="仿宋"/>
          <w:b/>
          <w:sz w:val="28"/>
          <w:szCs w:val="28"/>
        </w:rPr>
      </w:pPr>
      <w:r>
        <w:rPr>
          <w:rFonts w:hint="eastAsia" w:ascii="仿宋" w:hAnsi="仿宋" w:eastAsia="仿宋"/>
          <w:b/>
          <w:sz w:val="28"/>
          <w:szCs w:val="28"/>
          <w:lang w:val="en-US" w:eastAsia="zh-CN"/>
        </w:rPr>
        <w:t>3</w:t>
      </w:r>
      <w:r>
        <w:rPr>
          <w:rFonts w:hint="eastAsia" w:ascii="仿宋" w:hAnsi="仿宋" w:eastAsia="仿宋"/>
          <w:b/>
          <w:sz w:val="28"/>
          <w:szCs w:val="28"/>
        </w:rPr>
        <w:t>-</w:t>
      </w:r>
      <w:r>
        <w:rPr>
          <w:rFonts w:hint="eastAsia" w:ascii="仿宋" w:hAnsi="仿宋" w:eastAsia="仿宋"/>
          <w:b/>
          <w:bCs/>
          <w:sz w:val="28"/>
          <w:szCs w:val="28"/>
          <w:lang w:val="en-US" w:eastAsia="zh-CN"/>
        </w:rPr>
        <w:t>2</w:t>
      </w:r>
      <w:r>
        <w:rPr>
          <w:rFonts w:hint="eastAsia" w:ascii="仿宋" w:hAnsi="仿宋" w:eastAsia="仿宋"/>
          <w:b/>
          <w:bCs/>
          <w:sz w:val="28"/>
          <w:szCs w:val="28"/>
        </w:rPr>
        <w:t>企业</w:t>
      </w:r>
      <w:r>
        <w:rPr>
          <w:rFonts w:hint="eastAsia" w:ascii="仿宋" w:hAnsi="仿宋" w:eastAsia="仿宋"/>
          <w:b/>
          <w:sz w:val="28"/>
          <w:szCs w:val="28"/>
        </w:rPr>
        <w:t>法人营业执照（复印件）</w:t>
      </w:r>
    </w:p>
    <w:p>
      <w:pPr>
        <w:jc w:val="center"/>
        <w:outlineLvl w:val="1"/>
        <w:rPr>
          <w:rFonts w:ascii="仿宋" w:hAnsi="仿宋" w:eastAsia="仿宋"/>
          <w:b/>
          <w:sz w:val="28"/>
          <w:szCs w:val="28"/>
        </w:rPr>
      </w:pPr>
    </w:p>
    <w:p>
      <w:pPr>
        <w:spacing w:line="460" w:lineRule="exact"/>
        <w:rPr>
          <w:rFonts w:ascii="仿宋" w:hAnsi="仿宋" w:eastAsia="仿宋"/>
          <w:sz w:val="28"/>
          <w:szCs w:val="28"/>
        </w:rPr>
      </w:pPr>
      <w:r>
        <w:rPr>
          <w:rFonts w:hint="eastAsia" w:ascii="仿宋" w:hAnsi="仿宋" w:eastAsia="仿宋"/>
          <w:sz w:val="28"/>
          <w:szCs w:val="28"/>
          <w:lang w:eastAsia="zh-CN"/>
        </w:rPr>
        <w:t>郑州城轨交通中等专业学校</w:t>
      </w:r>
      <w:r>
        <w:rPr>
          <w:rFonts w:hint="eastAsia" w:ascii="仿宋" w:hAnsi="仿宋" w:eastAsia="仿宋"/>
          <w:sz w:val="28"/>
          <w:szCs w:val="28"/>
        </w:rPr>
        <w:t>：</w:t>
      </w:r>
    </w:p>
    <w:p>
      <w:pPr>
        <w:spacing w:line="460" w:lineRule="exact"/>
        <w:ind w:firstLine="560" w:firstLineChars="200"/>
        <w:rPr>
          <w:rFonts w:ascii="仿宋" w:hAnsi="仿宋" w:eastAsia="仿宋"/>
          <w:sz w:val="28"/>
          <w:szCs w:val="28"/>
        </w:rPr>
      </w:pPr>
      <w:r>
        <w:rPr>
          <w:rFonts w:hint="eastAsia" w:ascii="仿宋" w:hAnsi="仿宋" w:eastAsia="仿宋"/>
          <w:sz w:val="28"/>
          <w:szCs w:val="28"/>
        </w:rPr>
        <w:t>现附上由</w:t>
      </w:r>
      <w:r>
        <w:rPr>
          <w:rFonts w:hint="eastAsia" w:ascii="仿宋" w:hAnsi="仿宋" w:eastAsia="仿宋"/>
          <w:sz w:val="28"/>
          <w:szCs w:val="28"/>
          <w:u w:val="single"/>
        </w:rPr>
        <w:t xml:space="preserve">                         </w:t>
      </w:r>
      <w:r>
        <w:rPr>
          <w:rFonts w:hint="eastAsia" w:ascii="仿宋" w:hAnsi="仿宋" w:eastAsia="仿宋"/>
          <w:sz w:val="28"/>
          <w:szCs w:val="28"/>
        </w:rPr>
        <w:t>（签发机关名称）签发的我方法人营业执照，该执照业经年检，真实有效。</w:t>
      </w: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p>
    <w:p>
      <w:pPr>
        <w:spacing w:line="460" w:lineRule="exact"/>
        <w:rPr>
          <w:rFonts w:ascii="仿宋" w:hAnsi="仿宋" w:eastAsia="仿宋"/>
          <w:sz w:val="28"/>
          <w:szCs w:val="28"/>
        </w:rPr>
      </w:pPr>
      <w:r>
        <w:rPr>
          <w:rFonts w:hint="eastAsia" w:ascii="仿宋" w:hAnsi="仿宋" w:eastAsia="仿宋"/>
          <w:sz w:val="28"/>
          <w:szCs w:val="28"/>
        </w:rPr>
        <w:t xml:space="preserve">                         参 与 人（全称并加盖公章）：</w:t>
      </w:r>
      <w:r>
        <w:rPr>
          <w:rFonts w:hint="eastAsia" w:ascii="仿宋" w:hAnsi="仿宋" w:eastAsia="仿宋"/>
          <w:sz w:val="28"/>
          <w:szCs w:val="28"/>
          <w:u w:val="single"/>
        </w:rPr>
        <w:t xml:space="preserve">                 </w:t>
      </w:r>
      <w:r>
        <w:rPr>
          <w:rFonts w:hint="eastAsia" w:ascii="仿宋" w:hAnsi="仿宋" w:eastAsia="仿宋"/>
          <w:sz w:val="28"/>
          <w:szCs w:val="28"/>
        </w:rPr>
        <w:t xml:space="preserve">     </w:t>
      </w:r>
    </w:p>
    <w:p>
      <w:pPr>
        <w:spacing w:line="460" w:lineRule="exact"/>
        <w:rPr>
          <w:rFonts w:ascii="仿宋" w:hAnsi="仿宋" w:eastAsia="仿宋"/>
          <w:sz w:val="28"/>
          <w:szCs w:val="28"/>
        </w:rPr>
      </w:pPr>
      <w:r>
        <w:rPr>
          <w:rFonts w:hint="eastAsia" w:ascii="仿宋" w:hAnsi="仿宋" w:eastAsia="仿宋"/>
          <w:sz w:val="28"/>
          <w:szCs w:val="28"/>
        </w:rPr>
        <w:t xml:space="preserve">                         </w:t>
      </w:r>
      <w:r>
        <w:rPr>
          <w:rFonts w:hint="eastAsia" w:ascii="仿宋" w:hAnsi="仿宋" w:eastAsia="仿宋"/>
          <w:sz w:val="28"/>
          <w:szCs w:val="28"/>
          <w:lang w:val="zh-CN"/>
        </w:rPr>
        <w:t>报价授权委托人</w:t>
      </w:r>
      <w:r>
        <w:rPr>
          <w:rFonts w:hint="eastAsia" w:ascii="仿宋" w:hAnsi="仿宋" w:eastAsia="仿宋"/>
          <w:sz w:val="28"/>
          <w:szCs w:val="28"/>
        </w:rPr>
        <w:t>：</w:t>
      </w:r>
      <w:r>
        <w:rPr>
          <w:rFonts w:hint="eastAsia" w:ascii="仿宋" w:hAnsi="仿宋" w:eastAsia="仿宋"/>
          <w:sz w:val="28"/>
          <w:szCs w:val="28"/>
          <w:u w:val="single"/>
        </w:rPr>
        <w:t xml:space="preserve">           </w:t>
      </w:r>
      <w:r>
        <w:rPr>
          <w:rFonts w:ascii="仿宋" w:hAnsi="仿宋" w:eastAsia="仿宋"/>
          <w:sz w:val="28"/>
          <w:szCs w:val="28"/>
          <w:u w:val="single"/>
        </w:rPr>
        <w:t xml:space="preserve"> </w:t>
      </w:r>
      <w:r>
        <w:rPr>
          <w:rFonts w:hint="eastAsia" w:ascii="仿宋" w:hAnsi="仿宋" w:eastAsia="仿宋"/>
          <w:sz w:val="28"/>
          <w:szCs w:val="28"/>
          <w:u w:val="single"/>
        </w:rPr>
        <w:t xml:space="preserve">              </w:t>
      </w:r>
    </w:p>
    <w:p>
      <w:pPr>
        <w:spacing w:line="460" w:lineRule="exact"/>
        <w:rPr>
          <w:rFonts w:ascii="仿宋" w:hAnsi="仿宋" w:eastAsia="仿宋"/>
          <w:b/>
          <w:bCs/>
          <w:sz w:val="36"/>
          <w:szCs w:val="36"/>
        </w:rPr>
      </w:pPr>
      <w:r>
        <w:rPr>
          <w:rFonts w:hint="eastAsia" w:ascii="仿宋" w:hAnsi="仿宋" w:eastAsia="仿宋"/>
          <w:sz w:val="28"/>
          <w:szCs w:val="28"/>
        </w:rPr>
        <w:t xml:space="preserve">                         日      期：</w:t>
      </w:r>
      <w:r>
        <w:rPr>
          <w:rFonts w:hint="eastAsia" w:ascii="仿宋" w:hAnsi="仿宋" w:eastAsia="仿宋"/>
          <w:sz w:val="28"/>
          <w:szCs w:val="28"/>
          <w:u w:val="single"/>
        </w:rPr>
        <w:t xml:space="preserve">                                </w:t>
      </w:r>
    </w:p>
    <w:p>
      <w:pPr>
        <w:jc w:val="center"/>
        <w:rPr>
          <w:rFonts w:ascii="仿宋" w:hAnsi="仿宋" w:eastAsia="仿宋"/>
          <w:b/>
          <w:bCs/>
          <w:sz w:val="36"/>
          <w:szCs w:val="36"/>
        </w:rPr>
      </w:pPr>
    </w:p>
    <w:p>
      <w:pPr>
        <w:spacing w:after="0" w:line="500" w:lineRule="exact"/>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lang w:val="en-US" w:eastAsia="zh-CN" w:bidi="ar-SA"/>
        </w:rPr>
        <w:t>参与人另外需要提供以下材料：</w:t>
      </w:r>
    </w:p>
    <w:p>
      <w:pPr>
        <w:pStyle w:val="55"/>
        <w:numPr>
          <w:ilvl w:val="0"/>
          <w:numId w:val="7"/>
        </w:numPr>
        <w:spacing w:after="0" w:line="500" w:lineRule="exact"/>
        <w:ind w:firstLineChars="0"/>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lang w:val="en-US" w:eastAsia="zh-CN" w:bidi="ar-SA"/>
        </w:rPr>
        <w:t>授权经销商或代理商证明材料复印件</w:t>
      </w:r>
    </w:p>
    <w:p>
      <w:pPr>
        <w:pStyle w:val="55"/>
        <w:numPr>
          <w:ilvl w:val="0"/>
          <w:numId w:val="7"/>
        </w:numPr>
        <w:spacing w:after="0" w:line="500" w:lineRule="exact"/>
        <w:ind w:firstLineChars="0"/>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lang w:val="en-US" w:eastAsia="zh-CN" w:bidi="ar-SA"/>
        </w:rPr>
        <w:t>质保期和售后服务承诺书（参与人自行起草）</w:t>
      </w:r>
    </w:p>
    <w:p>
      <w:pPr>
        <w:pStyle w:val="55"/>
        <w:numPr>
          <w:ilvl w:val="0"/>
          <w:numId w:val="7"/>
        </w:numPr>
        <w:spacing w:after="0" w:line="500" w:lineRule="exact"/>
        <w:ind w:firstLineChars="0"/>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lang w:val="en-US" w:eastAsia="zh-CN" w:bidi="ar-SA"/>
        </w:rPr>
        <w:t>相应的业绩材料</w:t>
      </w:r>
    </w:p>
    <w:p>
      <w:pPr>
        <w:pStyle w:val="55"/>
        <w:numPr>
          <w:ilvl w:val="0"/>
          <w:numId w:val="7"/>
        </w:numPr>
        <w:spacing w:after="0" w:line="500" w:lineRule="exact"/>
        <w:ind w:firstLineChars="0"/>
        <w:rPr>
          <w:rFonts w:hint="eastAsia" w:ascii="仿宋" w:hAnsi="仿宋" w:eastAsia="仿宋" w:cs="仿宋"/>
          <w:color w:val="auto"/>
          <w:sz w:val="28"/>
          <w:szCs w:val="28"/>
          <w:lang w:val="en-US" w:eastAsia="zh-CN" w:bidi="ar-SA"/>
        </w:rPr>
      </w:pPr>
      <w:r>
        <w:rPr>
          <w:rFonts w:hint="eastAsia" w:ascii="仿宋" w:hAnsi="仿宋" w:eastAsia="仿宋" w:cs="仿宋"/>
          <w:color w:val="auto"/>
          <w:sz w:val="28"/>
          <w:szCs w:val="28"/>
          <w:lang w:val="en-US" w:eastAsia="zh-CN" w:bidi="ar-SA"/>
        </w:rPr>
        <w:t>资格审查表</w:t>
      </w:r>
    </w:p>
    <w:p>
      <w:pPr>
        <w:spacing w:line="380" w:lineRule="exact"/>
        <w:rPr>
          <w:rFonts w:hint="eastAsia" w:ascii="仿宋" w:hAnsi="仿宋" w:eastAsia="仿宋" w:cs="仿宋"/>
          <w:color w:val="auto"/>
          <w:sz w:val="32"/>
          <w:szCs w:val="32"/>
          <w:lang w:val="en-US" w:eastAsia="zh-CN" w:bidi="ar-SA"/>
        </w:rPr>
      </w:pPr>
      <w:r>
        <w:rPr>
          <w:rFonts w:hint="eastAsia" w:ascii="仿宋" w:hAnsi="仿宋" w:eastAsia="仿宋" w:cs="仿宋"/>
          <w:b/>
          <w:bCs/>
          <w:color w:val="auto"/>
          <w:sz w:val="28"/>
          <w:szCs w:val="28"/>
        </w:rPr>
        <w:t>以上材料复印件须加盖参与人公司公章，并与报价一览表一同密封</w:t>
      </w: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sectPr>
      <w:pgSz w:w="11906" w:h="16838"/>
      <w:pgMar w:top="1440" w:right="1416" w:bottom="1440" w:left="1134" w:header="851" w:footer="992" w:gutter="0"/>
      <w:pgBorders>
        <w:top w:val="none" w:sz="0" w:space="0"/>
        <w:left w:val="none" w:sz="0" w:space="0"/>
        <w:bottom w:val="none" w:sz="0" w:space="0"/>
        <w:right w:val="none" w:sz="0" w:space="0"/>
      </w:pgBorders>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entury Gothic">
    <w:altName w:val="Segoe Print"/>
    <w:panose1 w:val="00000000000000000000"/>
    <w:charset w:val="00"/>
    <w:family w:val="swiss"/>
    <w:pitch w:val="default"/>
    <w:sig w:usb0="00000000" w:usb1="00000000" w:usb2="00000000" w:usb3="00000000" w:csb0="000000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7"/>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7"/>
              <w:jc w:val="center"/>
            </w:pPr>
          </w:p>
        </w:sdtContent>
      </w:sdt>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0" b="5080"/>
          <wp:docPr id="12" name="图片 12"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687F21A7"/>
    <w:multiLevelType w:val="multilevel"/>
    <w:tmpl w:val="687F21A7"/>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6">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0"/>
  </w:num>
  <w:num w:numId="3">
    <w:abstractNumId w:val="4"/>
  </w:num>
  <w:num w:numId="4">
    <w:abstractNumId w:val="5"/>
  </w:num>
  <w:num w:numId="5">
    <w:abstractNumId w:val="2"/>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IzYzc3MWQzODYzZmUwNWM0YTc4ZTFkNjBkMzZiMWIifQ=="/>
  </w:docVars>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917281B"/>
    <w:rsid w:val="09DB1D05"/>
    <w:rsid w:val="0A213EB5"/>
    <w:rsid w:val="0B7E40F6"/>
    <w:rsid w:val="118C28EE"/>
    <w:rsid w:val="159B7B06"/>
    <w:rsid w:val="193254FB"/>
    <w:rsid w:val="255C220C"/>
    <w:rsid w:val="267C4F33"/>
    <w:rsid w:val="270970A2"/>
    <w:rsid w:val="2FA514C1"/>
    <w:rsid w:val="33412C6C"/>
    <w:rsid w:val="34333660"/>
    <w:rsid w:val="437A4286"/>
    <w:rsid w:val="45661622"/>
    <w:rsid w:val="4D0C6B88"/>
    <w:rsid w:val="4EC6244F"/>
    <w:rsid w:val="4EEE7190"/>
    <w:rsid w:val="52EA5229"/>
    <w:rsid w:val="561F1A38"/>
    <w:rsid w:val="562215F0"/>
    <w:rsid w:val="57DD272E"/>
    <w:rsid w:val="5A291702"/>
    <w:rsid w:val="685F19E3"/>
    <w:rsid w:val="69515825"/>
    <w:rsid w:val="6BDA0B22"/>
    <w:rsid w:val="6C132AF4"/>
    <w:rsid w:val="71DE3F3D"/>
    <w:rsid w:val="78444DB8"/>
    <w:rsid w:val="7A7C7E9B"/>
    <w:rsid w:val="7E6342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3">
    <w:name w:val="heading 1"/>
    <w:basedOn w:val="1"/>
    <w:next w:val="1"/>
    <w:link w:val="30"/>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4">
    <w:name w:val="heading 2"/>
    <w:basedOn w:val="1"/>
    <w:next w:val="1"/>
    <w:link w:val="31"/>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5">
    <w:name w:val="heading 3"/>
    <w:basedOn w:val="1"/>
    <w:next w:val="1"/>
    <w:link w:val="32"/>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6">
    <w:name w:val="heading 4"/>
    <w:basedOn w:val="1"/>
    <w:next w:val="1"/>
    <w:link w:val="33"/>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7">
    <w:name w:val="heading 5"/>
    <w:basedOn w:val="1"/>
    <w:next w:val="1"/>
    <w:link w:val="34"/>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8">
    <w:name w:val="heading 6"/>
    <w:basedOn w:val="1"/>
    <w:next w:val="1"/>
    <w:link w:val="35"/>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9">
    <w:name w:val="heading 7"/>
    <w:basedOn w:val="1"/>
    <w:next w:val="1"/>
    <w:link w:val="36"/>
    <w:semiHidden/>
    <w:unhideWhenUsed/>
    <w:qFormat/>
    <w:uiPriority w:val="9"/>
    <w:pPr>
      <w:keepNext/>
      <w:keepLines/>
      <w:spacing w:before="120" w:after="0"/>
      <w:outlineLvl w:val="6"/>
    </w:pPr>
    <w:rPr>
      <w:i/>
      <w:iCs/>
    </w:rPr>
  </w:style>
  <w:style w:type="paragraph" w:styleId="10">
    <w:name w:val="heading 8"/>
    <w:basedOn w:val="1"/>
    <w:next w:val="1"/>
    <w:link w:val="37"/>
    <w:semiHidden/>
    <w:unhideWhenUsed/>
    <w:qFormat/>
    <w:uiPriority w:val="9"/>
    <w:pPr>
      <w:keepNext/>
      <w:keepLines/>
      <w:spacing w:before="120" w:after="0"/>
      <w:outlineLvl w:val="7"/>
    </w:pPr>
    <w:rPr>
      <w:b/>
      <w:bCs/>
    </w:rPr>
  </w:style>
  <w:style w:type="paragraph" w:styleId="11">
    <w:name w:val="heading 9"/>
    <w:basedOn w:val="1"/>
    <w:next w:val="1"/>
    <w:link w:val="38"/>
    <w:semiHidden/>
    <w:unhideWhenUsed/>
    <w:qFormat/>
    <w:uiPriority w:val="9"/>
    <w:pPr>
      <w:keepNext/>
      <w:keepLines/>
      <w:spacing w:before="120" w:after="0"/>
      <w:outlineLvl w:val="8"/>
    </w:pPr>
    <w:rPr>
      <w:i/>
      <w:iCs/>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2">
    <w:name w:val="No Spacing"/>
    <w:link w:val="51"/>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12">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3">
    <w:name w:val="caption"/>
    <w:basedOn w:val="1"/>
    <w:next w:val="1"/>
    <w:semiHidden/>
    <w:unhideWhenUsed/>
    <w:qFormat/>
    <w:uiPriority w:val="35"/>
    <w:rPr>
      <w:b/>
      <w:bCs/>
      <w:sz w:val="18"/>
      <w:szCs w:val="18"/>
    </w:rPr>
  </w:style>
  <w:style w:type="paragraph" w:styleId="14">
    <w:name w:val="Body Text"/>
    <w:basedOn w:val="1"/>
    <w:link w:val="59"/>
    <w:semiHidden/>
    <w:unhideWhenUsed/>
    <w:qFormat/>
    <w:uiPriority w:val="99"/>
    <w:pPr>
      <w:spacing w:after="120"/>
    </w:pPr>
  </w:style>
  <w:style w:type="paragraph" w:styleId="15">
    <w:name w:val="toc 3"/>
    <w:basedOn w:val="1"/>
    <w:next w:val="1"/>
    <w:unhideWhenUsed/>
    <w:qFormat/>
    <w:uiPriority w:val="39"/>
    <w:pPr>
      <w:spacing w:after="100" w:line="259" w:lineRule="auto"/>
      <w:ind w:left="440"/>
      <w:jc w:val="left"/>
    </w:pPr>
    <w:rPr>
      <w:rFonts w:cs="Times New Roman"/>
    </w:rPr>
  </w:style>
  <w:style w:type="paragraph" w:styleId="16">
    <w:name w:val="Plain Text"/>
    <w:basedOn w:val="1"/>
    <w:link w:val="58"/>
    <w:unhideWhenUsed/>
    <w:qFormat/>
    <w:uiPriority w:val="0"/>
    <w:rPr>
      <w:rFonts w:hAnsi="Courier New" w:cs="Courier New" w:asciiTheme="minorEastAsia"/>
    </w:rPr>
  </w:style>
  <w:style w:type="paragraph" w:styleId="17">
    <w:name w:val="footer"/>
    <w:basedOn w:val="1"/>
    <w:link w:val="54"/>
    <w:unhideWhenUsed/>
    <w:qFormat/>
    <w:uiPriority w:val="99"/>
    <w:pPr>
      <w:tabs>
        <w:tab w:val="center" w:pos="4153"/>
        <w:tab w:val="right" w:pos="8306"/>
      </w:tabs>
      <w:snapToGrid w:val="0"/>
      <w:spacing w:line="240" w:lineRule="auto"/>
      <w:jc w:val="left"/>
    </w:pPr>
    <w:rPr>
      <w:sz w:val="18"/>
      <w:szCs w:val="18"/>
    </w:rPr>
  </w:style>
  <w:style w:type="paragraph" w:styleId="18">
    <w:name w:val="header"/>
    <w:basedOn w:val="1"/>
    <w:link w:val="53"/>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9">
    <w:name w:val="toc 1"/>
    <w:basedOn w:val="1"/>
    <w:next w:val="1"/>
    <w:unhideWhenUsed/>
    <w:qFormat/>
    <w:uiPriority w:val="39"/>
    <w:pPr>
      <w:spacing w:after="100" w:line="259" w:lineRule="auto"/>
      <w:jc w:val="left"/>
    </w:pPr>
    <w:rPr>
      <w:rFonts w:cs="Times New Roman"/>
    </w:rPr>
  </w:style>
  <w:style w:type="paragraph" w:styleId="20">
    <w:name w:val="Subtitle"/>
    <w:basedOn w:val="1"/>
    <w:next w:val="1"/>
    <w:link w:val="40"/>
    <w:qFormat/>
    <w:uiPriority w:val="11"/>
    <w:pPr>
      <w:spacing w:after="240"/>
      <w:jc w:val="center"/>
    </w:pPr>
    <w:rPr>
      <w:rFonts w:asciiTheme="majorHAnsi" w:hAnsiTheme="majorHAnsi" w:eastAsiaTheme="majorEastAsia" w:cstheme="majorBidi"/>
      <w:sz w:val="24"/>
      <w:szCs w:val="24"/>
    </w:rPr>
  </w:style>
  <w:style w:type="paragraph" w:styleId="21">
    <w:name w:val="Body Text Indent 3"/>
    <w:basedOn w:val="1"/>
    <w:link w:val="56"/>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2">
    <w:name w:val="toc 2"/>
    <w:basedOn w:val="1"/>
    <w:next w:val="1"/>
    <w:unhideWhenUsed/>
    <w:qFormat/>
    <w:uiPriority w:val="39"/>
    <w:pPr>
      <w:spacing w:after="100" w:line="259" w:lineRule="auto"/>
      <w:ind w:left="220"/>
      <w:jc w:val="left"/>
    </w:pPr>
    <w:rPr>
      <w:rFonts w:cs="Times New Roman"/>
    </w:rPr>
  </w:style>
  <w:style w:type="paragraph" w:styleId="23">
    <w:name w:val="Title"/>
    <w:basedOn w:val="1"/>
    <w:next w:val="1"/>
    <w:link w:val="39"/>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basedOn w:val="26"/>
    <w:qFormat/>
    <w:uiPriority w:val="22"/>
    <w:rPr>
      <w:b/>
      <w:bCs/>
      <w:color w:val="auto"/>
    </w:rPr>
  </w:style>
  <w:style w:type="character" w:styleId="28">
    <w:name w:val="Emphasis"/>
    <w:basedOn w:val="26"/>
    <w:qFormat/>
    <w:uiPriority w:val="20"/>
    <w:rPr>
      <w:i/>
      <w:iCs/>
      <w:color w:val="auto"/>
    </w:rPr>
  </w:style>
  <w:style w:type="character" w:styleId="29">
    <w:name w:val="Hyperlink"/>
    <w:basedOn w:val="26"/>
    <w:unhideWhenUsed/>
    <w:qFormat/>
    <w:uiPriority w:val="99"/>
    <w:rPr>
      <w:color w:val="F49100" w:themeColor="hyperlink"/>
      <w:u w:val="single"/>
      <w14:textFill>
        <w14:solidFill>
          <w14:schemeClr w14:val="hlink"/>
        </w14:solidFill>
      </w14:textFill>
    </w:rPr>
  </w:style>
  <w:style w:type="character" w:customStyle="1" w:styleId="30">
    <w:name w:val="标题 1 字符"/>
    <w:basedOn w:val="26"/>
    <w:link w:val="3"/>
    <w:qFormat/>
    <w:uiPriority w:val="9"/>
    <w:rPr>
      <w:rFonts w:asciiTheme="majorHAnsi" w:hAnsiTheme="majorHAnsi" w:eastAsiaTheme="majorEastAsia" w:cstheme="majorBidi"/>
      <w:b/>
      <w:bCs/>
      <w:caps/>
      <w:spacing w:val="4"/>
      <w:sz w:val="28"/>
      <w:szCs w:val="28"/>
    </w:rPr>
  </w:style>
  <w:style w:type="character" w:customStyle="1" w:styleId="31">
    <w:name w:val="标题 2 字符"/>
    <w:basedOn w:val="26"/>
    <w:link w:val="4"/>
    <w:semiHidden/>
    <w:qFormat/>
    <w:uiPriority w:val="9"/>
    <w:rPr>
      <w:rFonts w:asciiTheme="majorHAnsi" w:hAnsiTheme="majorHAnsi" w:eastAsiaTheme="majorEastAsia" w:cstheme="majorBidi"/>
      <w:b/>
      <w:bCs/>
      <w:sz w:val="28"/>
      <w:szCs w:val="28"/>
    </w:rPr>
  </w:style>
  <w:style w:type="character" w:customStyle="1" w:styleId="32">
    <w:name w:val="标题 3 字符"/>
    <w:basedOn w:val="26"/>
    <w:link w:val="5"/>
    <w:semiHidden/>
    <w:qFormat/>
    <w:uiPriority w:val="9"/>
    <w:rPr>
      <w:rFonts w:asciiTheme="majorHAnsi" w:hAnsiTheme="majorHAnsi" w:eastAsiaTheme="majorEastAsia" w:cstheme="majorBidi"/>
      <w:spacing w:val="4"/>
      <w:sz w:val="24"/>
      <w:szCs w:val="24"/>
    </w:rPr>
  </w:style>
  <w:style w:type="character" w:customStyle="1" w:styleId="33">
    <w:name w:val="标题 4 字符"/>
    <w:basedOn w:val="26"/>
    <w:link w:val="6"/>
    <w:semiHidden/>
    <w:qFormat/>
    <w:uiPriority w:val="9"/>
    <w:rPr>
      <w:rFonts w:asciiTheme="majorHAnsi" w:hAnsiTheme="majorHAnsi" w:eastAsiaTheme="majorEastAsia" w:cstheme="majorBidi"/>
      <w:i/>
      <w:iCs/>
      <w:sz w:val="24"/>
      <w:szCs w:val="24"/>
    </w:rPr>
  </w:style>
  <w:style w:type="character" w:customStyle="1" w:styleId="34">
    <w:name w:val="标题 5 字符"/>
    <w:basedOn w:val="26"/>
    <w:link w:val="7"/>
    <w:semiHidden/>
    <w:qFormat/>
    <w:uiPriority w:val="9"/>
    <w:rPr>
      <w:rFonts w:asciiTheme="majorHAnsi" w:hAnsiTheme="majorHAnsi" w:eastAsiaTheme="majorEastAsia" w:cstheme="majorBidi"/>
      <w:b/>
      <w:bCs/>
    </w:rPr>
  </w:style>
  <w:style w:type="character" w:customStyle="1" w:styleId="35">
    <w:name w:val="标题 6 字符"/>
    <w:basedOn w:val="26"/>
    <w:link w:val="8"/>
    <w:semiHidden/>
    <w:qFormat/>
    <w:uiPriority w:val="9"/>
    <w:rPr>
      <w:rFonts w:asciiTheme="majorHAnsi" w:hAnsiTheme="majorHAnsi" w:eastAsiaTheme="majorEastAsia" w:cstheme="majorBidi"/>
      <w:b/>
      <w:bCs/>
      <w:i/>
      <w:iCs/>
    </w:rPr>
  </w:style>
  <w:style w:type="character" w:customStyle="1" w:styleId="36">
    <w:name w:val="标题 7 字符"/>
    <w:basedOn w:val="26"/>
    <w:link w:val="9"/>
    <w:semiHidden/>
    <w:qFormat/>
    <w:uiPriority w:val="9"/>
    <w:rPr>
      <w:i/>
      <w:iCs/>
    </w:rPr>
  </w:style>
  <w:style w:type="character" w:customStyle="1" w:styleId="37">
    <w:name w:val="标题 8 字符"/>
    <w:basedOn w:val="26"/>
    <w:link w:val="10"/>
    <w:semiHidden/>
    <w:qFormat/>
    <w:uiPriority w:val="9"/>
    <w:rPr>
      <w:b/>
      <w:bCs/>
    </w:rPr>
  </w:style>
  <w:style w:type="character" w:customStyle="1" w:styleId="38">
    <w:name w:val="标题 9 字符"/>
    <w:basedOn w:val="26"/>
    <w:link w:val="11"/>
    <w:semiHidden/>
    <w:qFormat/>
    <w:uiPriority w:val="9"/>
    <w:rPr>
      <w:i/>
      <w:iCs/>
    </w:rPr>
  </w:style>
  <w:style w:type="character" w:customStyle="1" w:styleId="39">
    <w:name w:val="标题 字符"/>
    <w:basedOn w:val="26"/>
    <w:link w:val="23"/>
    <w:qFormat/>
    <w:uiPriority w:val="10"/>
    <w:rPr>
      <w:rFonts w:asciiTheme="majorHAnsi" w:hAnsiTheme="majorHAnsi" w:eastAsiaTheme="majorEastAsia" w:cstheme="majorBidi"/>
      <w:b/>
      <w:bCs/>
      <w:spacing w:val="-7"/>
      <w:sz w:val="48"/>
      <w:szCs w:val="48"/>
    </w:rPr>
  </w:style>
  <w:style w:type="character" w:customStyle="1" w:styleId="40">
    <w:name w:val="副标题 字符"/>
    <w:basedOn w:val="26"/>
    <w:link w:val="20"/>
    <w:qFormat/>
    <w:uiPriority w:val="11"/>
    <w:rPr>
      <w:rFonts w:asciiTheme="majorHAnsi" w:hAnsiTheme="majorHAnsi" w:eastAsiaTheme="majorEastAsia" w:cstheme="majorBidi"/>
      <w:sz w:val="24"/>
      <w:szCs w:val="24"/>
    </w:rPr>
  </w:style>
  <w:style w:type="paragraph" w:styleId="41">
    <w:name w:val="Quote"/>
    <w:basedOn w:val="1"/>
    <w:next w:val="1"/>
    <w:link w:val="42"/>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2">
    <w:name w:val="引用 字符"/>
    <w:basedOn w:val="26"/>
    <w:link w:val="41"/>
    <w:qFormat/>
    <w:uiPriority w:val="29"/>
    <w:rPr>
      <w:rFonts w:asciiTheme="majorHAnsi" w:hAnsiTheme="majorHAnsi" w:eastAsiaTheme="majorEastAsia" w:cstheme="majorBidi"/>
      <w:i/>
      <w:iCs/>
      <w:sz w:val="24"/>
      <w:szCs w:val="24"/>
    </w:rPr>
  </w:style>
  <w:style w:type="paragraph" w:styleId="43">
    <w:name w:val="Intense Quote"/>
    <w:basedOn w:val="1"/>
    <w:next w:val="1"/>
    <w:link w:val="44"/>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4">
    <w:name w:val="明显引用 字符"/>
    <w:basedOn w:val="26"/>
    <w:link w:val="43"/>
    <w:qFormat/>
    <w:uiPriority w:val="30"/>
    <w:rPr>
      <w:rFonts w:asciiTheme="majorHAnsi" w:hAnsiTheme="majorHAnsi" w:eastAsiaTheme="majorEastAsia" w:cstheme="majorBidi"/>
      <w:sz w:val="26"/>
      <w:szCs w:val="26"/>
    </w:rPr>
  </w:style>
  <w:style w:type="character" w:customStyle="1" w:styleId="45">
    <w:name w:val="Subtle Emphasis"/>
    <w:basedOn w:val="26"/>
    <w:qFormat/>
    <w:uiPriority w:val="19"/>
    <w:rPr>
      <w:i/>
      <w:iCs/>
      <w:color w:val="auto"/>
    </w:rPr>
  </w:style>
  <w:style w:type="character" w:customStyle="1" w:styleId="46">
    <w:name w:val="Intense Emphasis"/>
    <w:basedOn w:val="26"/>
    <w:qFormat/>
    <w:uiPriority w:val="21"/>
    <w:rPr>
      <w:b/>
      <w:bCs/>
      <w:i/>
      <w:iCs/>
      <w:color w:val="auto"/>
    </w:rPr>
  </w:style>
  <w:style w:type="character" w:customStyle="1" w:styleId="47">
    <w:name w:val="Subtle Reference"/>
    <w:basedOn w:val="26"/>
    <w:qFormat/>
    <w:uiPriority w:val="31"/>
    <w:rPr>
      <w:smallCaps/>
      <w:color w:val="auto"/>
      <w:u w:val="single" w:color="7E7E7E" w:themeColor="text1" w:themeTint="80"/>
    </w:rPr>
  </w:style>
  <w:style w:type="character" w:customStyle="1" w:styleId="48">
    <w:name w:val="Intense Reference"/>
    <w:basedOn w:val="26"/>
    <w:qFormat/>
    <w:uiPriority w:val="32"/>
    <w:rPr>
      <w:b/>
      <w:bCs/>
      <w:smallCaps/>
      <w:color w:val="auto"/>
      <w:u w:val="single"/>
    </w:rPr>
  </w:style>
  <w:style w:type="character" w:customStyle="1" w:styleId="49">
    <w:name w:val="Book Title"/>
    <w:basedOn w:val="26"/>
    <w:qFormat/>
    <w:uiPriority w:val="33"/>
    <w:rPr>
      <w:b/>
      <w:bCs/>
      <w:smallCaps/>
      <w:color w:val="auto"/>
    </w:rPr>
  </w:style>
  <w:style w:type="paragraph" w:customStyle="1" w:styleId="50">
    <w:name w:val="TOC Heading"/>
    <w:basedOn w:val="3"/>
    <w:next w:val="1"/>
    <w:unhideWhenUsed/>
    <w:qFormat/>
    <w:uiPriority w:val="39"/>
    <w:pPr>
      <w:outlineLvl w:val="9"/>
    </w:pPr>
  </w:style>
  <w:style w:type="character" w:customStyle="1" w:styleId="51">
    <w:name w:val="无间隔 字符"/>
    <w:basedOn w:val="26"/>
    <w:link w:val="2"/>
    <w:qFormat/>
    <w:uiPriority w:val="1"/>
  </w:style>
  <w:style w:type="paragraph" w:customStyle="1" w:styleId="52">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3">
    <w:name w:val="页眉 字符"/>
    <w:basedOn w:val="26"/>
    <w:link w:val="18"/>
    <w:qFormat/>
    <w:uiPriority w:val="99"/>
    <w:rPr>
      <w:sz w:val="18"/>
      <w:szCs w:val="18"/>
    </w:rPr>
  </w:style>
  <w:style w:type="character" w:customStyle="1" w:styleId="54">
    <w:name w:val="页脚 字符"/>
    <w:basedOn w:val="26"/>
    <w:link w:val="17"/>
    <w:qFormat/>
    <w:uiPriority w:val="99"/>
    <w:rPr>
      <w:sz w:val="18"/>
      <w:szCs w:val="18"/>
    </w:rPr>
  </w:style>
  <w:style w:type="paragraph" w:styleId="55">
    <w:name w:val="List Paragraph"/>
    <w:basedOn w:val="1"/>
    <w:qFormat/>
    <w:uiPriority w:val="34"/>
    <w:pPr>
      <w:ind w:firstLine="420" w:firstLineChars="200"/>
    </w:pPr>
  </w:style>
  <w:style w:type="character" w:customStyle="1" w:styleId="56">
    <w:name w:val="正文文本缩进 3 字符"/>
    <w:basedOn w:val="26"/>
    <w:link w:val="21"/>
    <w:qFormat/>
    <w:uiPriority w:val="0"/>
    <w:rPr>
      <w:rFonts w:ascii="Times New Roman" w:hAnsi="Times New Roman" w:eastAsia="宋体" w:cs="Times New Roman"/>
      <w:kern w:val="2"/>
      <w:sz w:val="16"/>
      <w:szCs w:val="16"/>
    </w:rPr>
  </w:style>
  <w:style w:type="paragraph" w:customStyle="1" w:styleId="57">
    <w:name w:val="样式3"/>
    <w:basedOn w:val="16"/>
    <w:qFormat/>
    <w:uiPriority w:val="0"/>
    <w:pPr>
      <w:widowControl w:val="0"/>
      <w:spacing w:after="0" w:line="0" w:lineRule="atLeast"/>
      <w:outlineLvl w:val="0"/>
    </w:pPr>
    <w:rPr>
      <w:rFonts w:ascii="宋体" w:eastAsia="宋体" w:cs="Times New Roman"/>
      <w:kern w:val="2"/>
      <w:sz w:val="28"/>
      <w:szCs w:val="20"/>
    </w:rPr>
  </w:style>
  <w:style w:type="character" w:customStyle="1" w:styleId="58">
    <w:name w:val="纯文本 字符"/>
    <w:basedOn w:val="26"/>
    <w:link w:val="16"/>
    <w:semiHidden/>
    <w:qFormat/>
    <w:uiPriority w:val="99"/>
    <w:rPr>
      <w:rFonts w:hAnsi="Courier New" w:cs="Courier New" w:asciiTheme="minorEastAsia"/>
    </w:rPr>
  </w:style>
  <w:style w:type="character" w:customStyle="1" w:styleId="59">
    <w:name w:val="正文文本 字符"/>
    <w:basedOn w:val="26"/>
    <w:link w:val="14"/>
    <w:semiHidden/>
    <w:uiPriority w:val="99"/>
  </w:style>
  <w:style w:type="character" w:customStyle="1" w:styleId="60">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6.xml"/><Relationship Id="rId7" Type="http://schemas.openxmlformats.org/officeDocument/2006/relationships/header" Target="header5.xml"/><Relationship Id="rId6" Type="http://schemas.openxmlformats.org/officeDocument/2006/relationships/header" Target="header4.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theme" Target="theme/theme1.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23</Pages>
  <Words>6685</Words>
  <Characters>8257</Characters>
  <Lines>19</Lines>
  <Paragraphs>5</Paragraphs>
  <TotalTime>3</TotalTime>
  <ScaleCrop>false</ScaleCrop>
  <LinksUpToDate>false</LinksUpToDate>
  <CharactersWithSpaces>8810</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Administrator</cp:lastModifiedBy>
  <cp:lastPrinted>2022-05-25T08:00:00Z</cp:lastPrinted>
  <dcterms:modified xsi:type="dcterms:W3CDTF">2022-05-27T08:41:52Z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y fmtid="{D5CDD505-2E9C-101B-9397-08002B2CF9AE}" pid="3" name="ICV">
    <vt:lpwstr>02FF11EECA7B40A5A22E9FA2277EF6F3</vt:lpwstr>
  </property>
</Properties>
</file>