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1" name="图片 1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4" name="图片 4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bookmarkStart w:id="0" w:name="_Hlk38472698"/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艺术升学中心钢琴采购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公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  <w:lang w:eastAsia="zh-CN"/>
        </w:rPr>
        <w:t>询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72"/>
          <w:szCs w:val="72"/>
        </w:rPr>
        <w:t>函</w:t>
      </w:r>
    </w:p>
    <w:p>
      <w:pPr>
        <w:spacing w:line="500" w:lineRule="exact"/>
        <w:ind w:firstLine="1807" w:firstLineChars="500"/>
        <w:jc w:val="both"/>
        <w:rPr>
          <w:rFonts w:hint="default" w:ascii="仿宋" w:hAnsi="仿宋" w:eastAsia="仿宋" w:cs="仿宋"/>
          <w:b/>
          <w:color w:val="auto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项目编号：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>ZZCG20220630</w:t>
      </w:r>
    </w:p>
    <w:p>
      <w:pPr>
        <w:pStyle w:val="11"/>
        <w:spacing w:line="360" w:lineRule="auto"/>
        <w:ind w:firstLine="1807" w:firstLineChars="500"/>
        <w:jc w:val="both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bookmarkStart w:id="1" w:name="_Toc160880485"/>
      <w:bookmarkStart w:id="2" w:name="_Toc160880118"/>
      <w:bookmarkStart w:id="3" w:name="_Toc169332792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项目名称</w:t>
      </w:r>
      <w:bookmarkEnd w:id="1"/>
      <w:bookmarkEnd w:id="2"/>
      <w:bookmarkEnd w:id="3"/>
      <w:r>
        <w:rPr>
          <w:rFonts w:hint="eastAsia" w:ascii="仿宋" w:hAnsi="仿宋" w:eastAsia="仿宋" w:cs="仿宋"/>
          <w:b/>
          <w:color w:val="auto"/>
          <w:sz w:val="36"/>
          <w:szCs w:val="36"/>
        </w:rPr>
        <w:t>：</w:t>
      </w:r>
      <w:bookmarkStart w:id="4" w:name="_Toc235438297"/>
      <w:bookmarkStart w:id="5" w:name="_Toc259692693"/>
      <w:bookmarkStart w:id="6" w:name="_Toc267060022"/>
      <w:bookmarkStart w:id="7" w:name="_Toc207014580"/>
      <w:bookmarkStart w:id="8" w:name="_Toc160880487"/>
      <w:bookmarkStart w:id="9" w:name="_Toc223146565"/>
      <w:bookmarkStart w:id="10" w:name="_Toc267059786"/>
      <w:bookmarkStart w:id="11" w:name="_Toc267059633"/>
      <w:bookmarkStart w:id="12" w:name="_Toc267060407"/>
      <w:bookmarkStart w:id="13" w:name="_Toc216241307"/>
      <w:bookmarkStart w:id="14" w:name="_Toc266870861"/>
      <w:bookmarkStart w:id="15" w:name="_Toc251613780"/>
      <w:bookmarkStart w:id="16" w:name="_Toc267059161"/>
      <w:bookmarkStart w:id="17" w:name="_Toc259692600"/>
      <w:bookmarkStart w:id="18" w:name="_Toc170798743"/>
      <w:bookmarkStart w:id="19" w:name="_Toc267059010"/>
      <w:bookmarkStart w:id="20" w:name="_Toc211937196"/>
      <w:bookmarkStart w:id="21" w:name="_Toc253066567"/>
      <w:bookmarkStart w:id="22" w:name="_Toc266868624"/>
      <w:bookmarkStart w:id="23" w:name="_Toc212526081"/>
      <w:bookmarkStart w:id="24" w:name="_Toc251586187"/>
      <w:bookmarkStart w:id="25" w:name="_Toc219800200"/>
      <w:bookmarkStart w:id="26" w:name="_Toc258401210"/>
      <w:bookmarkStart w:id="27" w:name="_Toc266868924"/>
      <w:bookmarkStart w:id="28" w:name="_Toc267059899"/>
      <w:bookmarkStart w:id="29" w:name="_Toc267060162"/>
      <w:bookmarkStart w:id="30" w:name="_Toc225669277"/>
      <w:bookmarkStart w:id="31" w:name="_Toc177985424"/>
      <w:bookmarkStart w:id="32" w:name="_Toc217891359"/>
      <w:bookmarkStart w:id="33" w:name="_Toc266870386"/>
      <w:bookmarkStart w:id="34" w:name="_Toc212530253"/>
      <w:bookmarkStart w:id="35" w:name="_Toc212456146"/>
      <w:bookmarkStart w:id="36" w:name="_Toc235437942"/>
      <w:bookmarkStart w:id="37" w:name="_Toc254790852"/>
      <w:bookmarkStart w:id="38" w:name="_Toc227058483"/>
      <w:bookmarkStart w:id="39" w:name="_Toc169332794"/>
      <w:bookmarkStart w:id="40" w:name="_Toc235438227"/>
      <w:bookmarkStart w:id="41" w:name="_Toc255974963"/>
      <w:bookmarkStart w:id="42" w:name="_Toc259520819"/>
      <w:bookmarkStart w:id="43" w:name="_Toc249325665"/>
      <w:bookmarkStart w:id="44" w:name="_Toc169332904"/>
      <w:bookmarkStart w:id="45" w:name="_Toc212454753"/>
      <w:bookmarkStart w:id="46" w:name="_Toc273178686"/>
      <w:bookmarkStart w:id="47" w:name="_Toc236021402"/>
      <w:bookmarkStart w:id="48" w:name="_Toc267059519"/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郑州城轨交通中等专业学校</w:t>
      </w:r>
    </w:p>
    <w:p>
      <w:pPr>
        <w:pStyle w:val="11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  <w:lang w:val="en-US" w:eastAsia="zh-CN"/>
        </w:rPr>
        <w:t xml:space="preserve">              </w:t>
      </w:r>
      <w:r>
        <w:rPr>
          <w:rFonts w:hint="eastAsia" w:ascii="仿宋" w:hAnsi="仿宋" w:eastAsia="仿宋" w:cs="仿宋"/>
          <w:b/>
          <w:color w:val="auto"/>
          <w:sz w:val="36"/>
          <w:szCs w:val="36"/>
          <w:lang w:eastAsia="zh-CN"/>
        </w:rPr>
        <w:t>关于艺术升学中心钢琴采购项目</w:t>
      </w:r>
    </w:p>
    <w:p>
      <w:pPr>
        <w:pStyle w:val="11"/>
        <w:spacing w:line="360" w:lineRule="auto"/>
        <w:jc w:val="center"/>
        <w:outlineLvl w:val="0"/>
        <w:rPr>
          <w:rFonts w:hint="eastAsia" w:ascii="仿宋" w:hAnsi="仿宋" w:eastAsia="仿宋" w:cs="仿宋"/>
          <w:b/>
          <w:color w:val="auto"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一、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价邀请</w:t>
      </w:r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函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bookmarkStart w:id="49" w:name="_Hlk10840310"/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25000余人。根据需要，对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关于艺术升学中心钢琴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采购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项目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进行公开询价，欢迎国内合格参与人参与。</w:t>
      </w:r>
    </w:p>
    <w:p>
      <w:pPr>
        <w:spacing w:after="0" w:line="500" w:lineRule="exact"/>
        <w:ind w:firstLine="364" w:firstLineChars="152"/>
        <w:jc w:val="both"/>
        <w:rPr>
          <w:rFonts w:hint="default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项目编号：ZZCG20220630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项目名称：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学校</w:t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关于艺术升学中心钢琴采购项目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数量及主要技术要求:详见《公开询价项目介绍》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参与人资格标准：</w:t>
      </w:r>
    </w:p>
    <w:p>
      <w:pPr>
        <w:pStyle w:val="10"/>
        <w:numPr>
          <w:ilvl w:val="0"/>
          <w:numId w:val="2"/>
        </w:numPr>
        <w:spacing w:after="0" w:line="500" w:lineRule="exact"/>
        <w:ind w:firstLineChars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参与人应具有独立法人资格的生产厂商或授权经销商。</w:t>
      </w:r>
    </w:p>
    <w:p>
      <w:pPr>
        <w:spacing w:after="0" w:line="500" w:lineRule="exact"/>
        <w:ind w:left="1310" w:leftChars="322" w:hanging="602" w:hangingChars="251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（2）参与人应具有提供设备和服务的资格及能力。在郑州市范围有固定售后服务机构，具备相应的维护保养能力。</w:t>
      </w:r>
    </w:p>
    <w:p>
      <w:pPr>
        <w:spacing w:after="0" w:line="500" w:lineRule="exact"/>
        <w:ind w:left="1070" w:leftChars="322" w:hanging="362" w:hangingChars="151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（3）参与人应遵守中国的有关法律、法规和规章的规定。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报价响应文件递交方式：密封报价并邮寄报价响应文件。</w:t>
      </w:r>
    </w:p>
    <w:p>
      <w:pPr>
        <w:widowControl w:val="0"/>
        <w:numPr>
          <w:ilvl w:val="1"/>
          <w:numId w:val="1"/>
        </w:numPr>
        <w:spacing w:after="0" w:line="500" w:lineRule="exact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递交截止时间：2022年7月12日上午12:00前（以参与人快递寄出时间为准）。</w:t>
      </w:r>
    </w:p>
    <w:p>
      <w:pPr>
        <w:numPr>
          <w:ilvl w:val="1"/>
          <w:numId w:val="1"/>
        </w:numPr>
        <w:spacing w:after="0" w:line="500" w:lineRule="exact"/>
        <w:ind w:left="839" w:leftChars="0" w:hanging="419" w:firstLineChars="0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报价响应文件递交地点：河南省郑州市新郑市新村镇107国道东侧郑州城轨交通中等专业学校</w:t>
      </w:r>
    </w:p>
    <w:p>
      <w:pPr>
        <w:numPr>
          <w:ilvl w:val="1"/>
          <w:numId w:val="1"/>
        </w:numPr>
        <w:spacing w:after="0" w:line="500" w:lineRule="exact"/>
        <w:ind w:left="839" w:leftChars="0" w:hanging="419" w:firstLineChars="0"/>
        <w:jc w:val="both"/>
        <w:rPr>
          <w:rFonts w:hint="default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 xml:space="preserve"> 联系人：杜倩文；联系电话：13071033298</w:t>
      </w:r>
    </w:p>
    <w:p>
      <w:pPr>
        <w:spacing w:after="0" w:line="500" w:lineRule="exact"/>
        <w:ind w:firstLine="720" w:firstLineChars="300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本项目最终成交结果会在中教集团后勤贤知平台“中标信息公示”板块公示，网址：www.ceghqxz.com。本项目监督投诉部门：中教集团内控部；投诉电话：0791-88102608；投诉邮箱：</w:t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fldChar w:fldCharType="begin"/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instrText xml:space="preserve"> HYPERLINK "mailto:Neikongbu@educationgroup.cn" </w:instrText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fldChar w:fldCharType="separate"/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Neikongbu@educationgroup.cn</w:t>
      </w: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fldChar w:fldCharType="end"/>
      </w:r>
    </w:p>
    <w:p>
      <w:pPr>
        <w:spacing w:after="0" w:line="500" w:lineRule="exact"/>
        <w:ind w:firstLine="720" w:firstLineChars="300"/>
        <w:jc w:val="both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二、参与人须知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firstLine="480" w:firstLineChars="200"/>
        <w:jc w:val="both"/>
        <w:textAlignment w:val="auto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1. 所有货物均以人民币报价；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firstLine="480" w:firstLineChars="200"/>
        <w:jc w:val="both"/>
        <w:textAlignment w:val="auto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2. 报价响应文件2份，报价响应文件必须用A4幅面纸张打印，须由参与人填写并加盖公章（正本1份副本1份）；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firstLine="480" w:firstLineChars="200"/>
        <w:jc w:val="both"/>
        <w:textAlignment w:val="auto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3. 报价响应文件用不退色墨水书写或打印，因字迹潦草或表达不清所引起的后果由参与人自负；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firstLine="480" w:firstLineChars="200"/>
        <w:jc w:val="both"/>
        <w:textAlignment w:val="auto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4. 报价响应文件及所有相关资料需同时进行密封处理，并在密封处加盖公章，未做密封处理及未加盖公章的视为无效报价；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0" w:firstLine="480" w:firstLineChars="200"/>
        <w:jc w:val="left"/>
        <w:textAlignment w:val="auto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5. 一个参与人只能提交一个报价响应文件。但如果参与人之间存在下列互为关联关系情形之一的，不得同时参加本项目报价：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(1) 法定代表人为同一人的两个及两个以上法人；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(2) 母公司、直接或间接持股50％及以上的被投资公司;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(3) 均为同一家母公司直接或间接持股50％及以上的被投资公司。</w:t>
      </w:r>
    </w:p>
    <w:p>
      <w:pPr>
        <w:pStyle w:val="10"/>
        <w:widowControl w:val="0"/>
        <w:numPr>
          <w:ilvl w:val="0"/>
          <w:numId w:val="0"/>
        </w:numPr>
        <w:spacing w:after="0" w:line="500" w:lineRule="exact"/>
        <w:ind w:firstLine="480" w:firstLineChars="20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三、售后服务要求</w:t>
      </w:r>
    </w:p>
    <w:p>
      <w:pPr>
        <w:pStyle w:val="10"/>
        <w:widowControl w:val="0"/>
        <w:numPr>
          <w:ilvl w:val="3"/>
          <w:numId w:val="3"/>
        </w:numPr>
        <w:spacing w:after="0" w:line="500" w:lineRule="exact"/>
        <w:ind w:left="851" w:hanging="425" w:firstLineChars="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免费保修期:</w:t>
      </w:r>
    </w:p>
    <w:p>
      <w:pPr>
        <w:pStyle w:val="10"/>
        <w:widowControl w:val="0"/>
        <w:numPr>
          <w:ilvl w:val="0"/>
          <w:numId w:val="3"/>
        </w:numPr>
        <w:spacing w:after="0" w:line="500" w:lineRule="exact"/>
        <w:ind w:firstLineChars="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应急维修时间安排：</w:t>
      </w:r>
    </w:p>
    <w:p>
      <w:pPr>
        <w:pStyle w:val="10"/>
        <w:widowControl w:val="0"/>
        <w:numPr>
          <w:ilvl w:val="0"/>
          <w:numId w:val="3"/>
        </w:numPr>
        <w:spacing w:after="0" w:line="500" w:lineRule="exact"/>
        <w:ind w:firstLineChars="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维修地点、地址、联系电话及联系人员：</w:t>
      </w:r>
    </w:p>
    <w:p>
      <w:pPr>
        <w:pStyle w:val="10"/>
        <w:widowControl w:val="0"/>
        <w:numPr>
          <w:ilvl w:val="0"/>
          <w:numId w:val="3"/>
        </w:numPr>
        <w:spacing w:after="0" w:line="500" w:lineRule="exact"/>
        <w:ind w:firstLineChars="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维修服务、主要零配件及易耗品的收费标准：</w:t>
      </w:r>
    </w:p>
    <w:p>
      <w:pPr>
        <w:pStyle w:val="10"/>
        <w:widowControl w:val="0"/>
        <w:numPr>
          <w:ilvl w:val="0"/>
          <w:numId w:val="3"/>
        </w:numPr>
        <w:spacing w:after="0" w:line="500" w:lineRule="exact"/>
        <w:ind w:firstLineChars="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制造商的技术支持。</w:t>
      </w:r>
    </w:p>
    <w:p>
      <w:pPr>
        <w:widowControl w:val="0"/>
        <w:spacing w:after="0" w:line="500" w:lineRule="exact"/>
        <w:ind w:left="426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四、确定成交参与人标准及原则：</w:t>
      </w:r>
    </w:p>
    <w:p>
      <w:pPr>
        <w:widowControl w:val="0"/>
        <w:spacing w:after="0" w:line="500" w:lineRule="exact"/>
        <w:ind w:left="426" w:firstLine="480" w:firstLineChars="200"/>
        <w:jc w:val="left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>符合采购需求、质量和服务要求,经过磋商所报价格为合理价格的参与人为成交参与人，最低报价不作为成交的保证。第一成交参与人放弃成交、或因不可抗力提出不能履行合同，或由特殊情况和充分理由说明第二成交参与人对采购人更有利，且不影响公平竞争秩序，采购人可以确定第二成交参与人为成交供应商，依此类推。</w:t>
      </w: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  <w:r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  <w:t xml:space="preserve"> </w:t>
      </w: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outlineLvl w:val="0"/>
        <w:rPr>
          <w:rFonts w:hint="eastAsia" w:ascii="仿宋" w:hAnsi="仿宋" w:eastAsia="仿宋" w:cstheme="minorBidi"/>
          <w:sz w:val="24"/>
          <w:szCs w:val="24"/>
          <w:lang w:val="en-US" w:eastAsia="zh-CN" w:bidi="ar-SA"/>
        </w:rPr>
      </w:pPr>
    </w:p>
    <w:p>
      <w:pPr>
        <w:pStyle w:val="11"/>
        <w:spacing w:line="360" w:lineRule="auto"/>
        <w:jc w:val="center"/>
        <w:outlineLvl w:val="0"/>
        <w:rPr>
          <w:rFonts w:hint="eastAsia"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二、公开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询价</w:t>
      </w: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项目介绍</w:t>
      </w:r>
      <w:bookmarkEnd w:id="49"/>
    </w:p>
    <w:p>
      <w:pPr>
        <w:spacing w:line="420" w:lineRule="exact"/>
        <w:jc w:val="center"/>
        <w:rPr>
          <w:rFonts w:hint="eastAsia" w:ascii="仿宋" w:hAnsi="仿宋" w:eastAsia="仿宋"/>
          <w:b/>
          <w:sz w:val="36"/>
          <w:szCs w:val="36"/>
        </w:rPr>
      </w:pPr>
    </w:p>
    <w:p>
      <w:pPr>
        <w:spacing w:line="420" w:lineRule="exact"/>
        <w:jc w:val="center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/>
          <w:b/>
          <w:sz w:val="36"/>
          <w:szCs w:val="36"/>
        </w:rPr>
        <w:t>公开询价货物一览表</w:t>
      </w:r>
    </w:p>
    <w:p>
      <w:pPr>
        <w:numPr>
          <w:ilvl w:val="0"/>
          <w:numId w:val="0"/>
        </w:numPr>
        <w:ind w:left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="930" w:tblpY="1092"/>
        <w:tblOverlap w:val="never"/>
        <w:tblW w:w="97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1387"/>
        <w:gridCol w:w="2415"/>
        <w:gridCol w:w="975"/>
        <w:gridCol w:w="855"/>
        <w:gridCol w:w="1095"/>
        <w:gridCol w:w="1305"/>
        <w:gridCol w:w="8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物品名称</w:t>
            </w:r>
          </w:p>
        </w:tc>
        <w:tc>
          <w:tcPr>
            <w:tcW w:w="2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规格型号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单价（元）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总价（元）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钢琴</w:t>
            </w:r>
          </w:p>
        </w:tc>
        <w:tc>
          <w:tcPr>
            <w:tcW w:w="2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珠江UP118M+</w:t>
            </w:r>
          </w:p>
          <w:p>
            <w:pPr>
              <w:jc w:val="center"/>
              <w:rPr>
                <w:rFonts w:hint="eastAsia" w:eastAsia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(需加装原厂缓降器）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</w:tr>
    </w:tbl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</w:p>
    <w:p>
      <w:pPr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报价说明：</w:t>
      </w:r>
    </w:p>
    <w:p>
      <w:pPr>
        <w:numPr>
          <w:ilvl w:val="0"/>
          <w:numId w:val="4"/>
        </w:numPr>
        <w:ind w:left="0" w:leftChars="0" w:firstLine="0" w:firstLineChars="0"/>
        <w:jc w:val="left"/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4"/>
          <w:szCs w:val="32"/>
          <w:lang w:val="en-US" w:eastAsia="zh-CN"/>
        </w:rPr>
        <w:t>此报价为一次性报价。</w:t>
      </w: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rPr>
          <w:rFonts w:hint="eastAsia" w:ascii="仿宋" w:hAnsi="仿宋" w:eastAsia="仿宋" w:cs="仿宋"/>
          <w:b/>
          <w:color w:val="auto"/>
          <w:sz w:val="36"/>
          <w:szCs w:val="36"/>
        </w:rPr>
        <w:sectPr>
          <w:headerReference r:id="rId3" w:type="default"/>
          <w:footerReference r:id="rId4" w:type="default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spacing w:line="1000" w:lineRule="exact"/>
        <w:jc w:val="both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pStyle w:val="2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pStyle w:val="2"/>
        <w:rPr>
          <w:rFonts w:hint="eastAsia" w:ascii="仿宋" w:hAnsi="仿宋" w:eastAsia="仿宋" w:cs="仿宋"/>
          <w:b/>
          <w:color w:val="auto"/>
          <w:sz w:val="72"/>
          <w:szCs w:val="72"/>
        </w:rPr>
      </w:pPr>
    </w:p>
    <w:p>
      <w:pPr>
        <w:jc w:val="center"/>
        <w:rPr>
          <w:rFonts w:hint="eastAsia" w:eastAsiaTheme="minorEastAsia"/>
          <w:color w:val="auto"/>
          <w:lang w:eastAsia="zh-CN"/>
        </w:rPr>
      </w:pP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672465" cy="672465"/>
            <wp:effectExtent l="0" t="0" r="0" b="0"/>
            <wp:docPr id="2" name="图片 2" descr="校徽透明背景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校徽透明背景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72465" cy="67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color w:val="auto"/>
          <w:lang w:eastAsia="zh-CN"/>
        </w:rPr>
        <w:drawing>
          <wp:inline distT="0" distB="0" distL="114300" distR="114300">
            <wp:extent cx="4542790" cy="593725"/>
            <wp:effectExtent l="0" t="0" r="13970" b="635"/>
            <wp:docPr id="3" name="图片 3" descr="校名透明背景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校名透明背景png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542790" cy="593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郑州城轨交通中等专业学校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  <w:r>
        <w:rPr>
          <w:rFonts w:hint="eastAsia" w:ascii="仿宋" w:hAnsi="仿宋" w:eastAsia="仿宋" w:cs="仿宋"/>
          <w:b/>
          <w:color w:val="auto"/>
          <w:sz w:val="44"/>
          <w:szCs w:val="44"/>
        </w:rPr>
        <w:t>关于</w:t>
      </w:r>
      <w:r>
        <w:rPr>
          <w:rFonts w:hint="eastAsia" w:ascii="仿宋" w:hAnsi="仿宋" w:eastAsia="仿宋" w:cs="仿宋"/>
          <w:b/>
          <w:color w:val="auto"/>
          <w:sz w:val="44"/>
          <w:szCs w:val="44"/>
          <w:lang w:eastAsia="zh-CN"/>
        </w:rPr>
        <w:t>艺术升学中心钢琴采购</w:t>
      </w:r>
      <w:r>
        <w:rPr>
          <w:rFonts w:hint="eastAsia" w:ascii="仿宋" w:hAnsi="仿宋" w:eastAsia="仿宋"/>
          <w:b/>
          <w:sz w:val="44"/>
          <w:szCs w:val="44"/>
        </w:rPr>
        <w:t>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/>
          <w:b/>
          <w:sz w:val="44"/>
          <w:szCs w:val="44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报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价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响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应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52"/>
          <w:szCs w:val="5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文</w:t>
      </w:r>
    </w:p>
    <w:p>
      <w:pPr>
        <w:spacing w:line="580" w:lineRule="exact"/>
        <w:jc w:val="center"/>
        <w:rPr>
          <w:rFonts w:hint="eastAsia" w:ascii="仿宋" w:hAnsi="仿宋" w:eastAsia="仿宋" w:cs="仿宋"/>
          <w:b/>
          <w:color w:val="auto"/>
          <w:sz w:val="72"/>
          <w:szCs w:val="72"/>
        </w:rPr>
      </w:pPr>
      <w:r>
        <w:rPr>
          <w:rFonts w:hint="eastAsia" w:ascii="仿宋" w:hAnsi="仿宋" w:eastAsia="仿宋" w:cs="仿宋"/>
          <w:b/>
          <w:color w:val="auto"/>
          <w:sz w:val="52"/>
          <w:szCs w:val="52"/>
        </w:rPr>
        <w:t>件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参与人名称（公司全称）：XXXX</w:t>
      </w:r>
    </w:p>
    <w:p>
      <w:pPr>
        <w:spacing w:line="500" w:lineRule="exact"/>
        <w:ind w:firstLine="2331" w:firstLineChars="645"/>
        <w:rPr>
          <w:rFonts w:hint="eastAsia" w:ascii="仿宋" w:hAnsi="仿宋" w:eastAsia="仿宋" w:cs="仿宋"/>
          <w:b/>
          <w:color w:val="auto"/>
          <w:sz w:val="36"/>
          <w:szCs w:val="36"/>
        </w:rPr>
      </w:pPr>
      <w:r>
        <w:rPr>
          <w:rFonts w:hint="eastAsia" w:ascii="仿宋" w:hAnsi="仿宋" w:eastAsia="仿宋" w:cs="仿宋"/>
          <w:b/>
          <w:color w:val="auto"/>
          <w:sz w:val="36"/>
          <w:szCs w:val="36"/>
        </w:rPr>
        <w:t>参与人授权代表：XXXX</w:t>
      </w: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color w:val="auto"/>
          <w:sz w:val="36"/>
          <w:szCs w:val="36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t>此封面应作为报价响应文件封面</w:t>
      </w:r>
    </w:p>
    <w:p>
      <w:pPr>
        <w:jc w:val="both"/>
        <w:rPr>
          <w:rFonts w:hint="eastAsia" w:ascii="仿宋" w:hAnsi="仿宋" w:eastAsia="仿宋" w:cs="仿宋"/>
          <w:b/>
          <w:bCs/>
          <w:color w:val="auto"/>
          <w:sz w:val="30"/>
          <w:szCs w:val="30"/>
        </w:rPr>
        <w:sectPr>
          <w:headerReference r:id="rId6" w:type="first"/>
          <w:headerReference r:id="rId5" w:type="default"/>
          <w:footerReference r:id="rId7" w:type="default"/>
          <w:type w:val="continuous"/>
          <w:pgSz w:w="11906" w:h="16838"/>
          <w:pgMar w:top="1440" w:right="1416" w:bottom="1440" w:left="1134" w:header="851" w:footer="227" w:gutter="0"/>
          <w:pgNumType w:fmt="decimal"/>
          <w:cols w:space="0" w:num="1"/>
          <w:rtlGutter w:val="0"/>
          <w:docGrid w:type="lines" w:linePitch="312" w:charSpace="0"/>
        </w:sectPr>
      </w:pPr>
    </w:p>
    <w:p>
      <w:pPr>
        <w:jc w:val="both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bookmarkStart w:id="50" w:name="_Toc213755939"/>
      <w:bookmarkStart w:id="51" w:name="_Toc259692740"/>
      <w:bookmarkStart w:id="52" w:name="_Toc211917116"/>
      <w:bookmarkStart w:id="53" w:name="_Toc259692647"/>
      <w:bookmarkStart w:id="54" w:name="_Toc235438274"/>
      <w:bookmarkStart w:id="55" w:name="_Toc267059030"/>
      <w:bookmarkStart w:id="56" w:name="_Toc267060453"/>
      <w:bookmarkStart w:id="57" w:name="_Toc267059181"/>
      <w:bookmarkStart w:id="58" w:name="_Toc192663686"/>
      <w:bookmarkStart w:id="59" w:name="_Toc266868937"/>
      <w:bookmarkStart w:id="60" w:name="_Toc203355733"/>
      <w:bookmarkStart w:id="61" w:name="_Toc191803626"/>
      <w:bookmarkStart w:id="62" w:name="_Toc267060321"/>
      <w:bookmarkStart w:id="63" w:name="_Toc251586231"/>
      <w:bookmarkStart w:id="64" w:name="_Toc213755995"/>
      <w:bookmarkStart w:id="65" w:name="_Toc192996446"/>
      <w:bookmarkStart w:id="66" w:name="_Toc267060068"/>
      <w:bookmarkStart w:id="67" w:name="_Toc232302115"/>
      <w:bookmarkStart w:id="68" w:name="_Toc273178698"/>
      <w:bookmarkStart w:id="69" w:name="_Toc235437991"/>
      <w:bookmarkStart w:id="70" w:name="_Toc255975007"/>
      <w:bookmarkStart w:id="71" w:name="_Toc249325711"/>
      <w:bookmarkStart w:id="72" w:name="_Toc169332949"/>
      <w:bookmarkStart w:id="73" w:name="_Toc182372782"/>
      <w:bookmarkStart w:id="74" w:name="_Toc213756051"/>
      <w:bookmarkStart w:id="75" w:name="_Toc182805217"/>
      <w:bookmarkStart w:id="76" w:name="_Toc193160448"/>
      <w:bookmarkStart w:id="77" w:name="_Toc160880529"/>
      <w:bookmarkStart w:id="78" w:name="_Toc191783222"/>
      <w:bookmarkStart w:id="79" w:name="_Toc191802690"/>
      <w:bookmarkStart w:id="80" w:name="_Toc192663835"/>
      <w:bookmarkStart w:id="81" w:name="_Toc160880160"/>
      <w:bookmarkStart w:id="82" w:name="_Toc181436461"/>
      <w:bookmarkStart w:id="83" w:name="_Toc177985469"/>
      <w:bookmarkStart w:id="84" w:name="_Toc180302913"/>
      <w:bookmarkStart w:id="85" w:name="_Toc223146608"/>
      <w:bookmarkStart w:id="86" w:name="_Toc217891402"/>
      <w:bookmarkStart w:id="87" w:name="_Toc219800243"/>
      <w:bookmarkStart w:id="88" w:name="_Toc213755858"/>
      <w:bookmarkStart w:id="89" w:name="_Toc181436565"/>
      <w:bookmarkStart w:id="90" w:name="_Toc267059653"/>
      <w:bookmarkStart w:id="91" w:name="_Toc266870833"/>
      <w:bookmarkStart w:id="92" w:name="_Toc266870432"/>
      <w:bookmarkStart w:id="93" w:name="_Toc170798793"/>
      <w:bookmarkStart w:id="94" w:name="_Toc254790899"/>
      <w:bookmarkStart w:id="95" w:name="_Toc230071147"/>
      <w:bookmarkStart w:id="96" w:name="_Toc192664153"/>
      <w:bookmarkStart w:id="97" w:name="_Toc259520865"/>
      <w:bookmarkStart w:id="98" w:name="_Toc193165734"/>
      <w:bookmarkStart w:id="99" w:name="_Toc253066614"/>
      <w:bookmarkStart w:id="100" w:name="_Toc169332838"/>
      <w:bookmarkStart w:id="101" w:name="_Toc235438344"/>
      <w:bookmarkStart w:id="102" w:name="_Toc267060208"/>
      <w:bookmarkStart w:id="103" w:name="_Toc266868670"/>
      <w:bookmarkStart w:id="104" w:name="_Toc267059539"/>
      <w:bookmarkStart w:id="105" w:name="_Toc258401256"/>
      <w:bookmarkStart w:id="106" w:name="_Toc227058530"/>
      <w:bookmarkStart w:id="107" w:name="_Toc267059806"/>
      <w:bookmarkStart w:id="108" w:name="_Toc267059919"/>
      <w:bookmarkStart w:id="109" w:name="_Toc192996338"/>
      <w:bookmarkStart w:id="110" w:name="_Toc225669322"/>
      <w:bookmarkStart w:id="111" w:name="_Toc191789329"/>
      <w:bookmarkStart w:id="112" w:name="_Toc213208766"/>
      <w:bookmarkStart w:id="113" w:name="_Toc251613829"/>
      <w:bookmarkStart w:id="114" w:name="_Toc236021449"/>
      <w:bookmarkStart w:id="115" w:name="_Toc266870907"/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1、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eastAsia="zh-CN"/>
        </w:rPr>
        <w:t>询价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响应函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致：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郑州城轨交通中等专业学校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根据贵方为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项目的公开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邀请（编号）: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，本签字代表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>（全名、职务）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正式授权并代表我方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>（参与人公司名称、地址）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提交下述文件正本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份和副本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份。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(1) 分项报价表</w:t>
      </w:r>
    </w:p>
    <w:p>
      <w:pPr>
        <w:spacing w:after="0" w:line="480" w:lineRule="exact"/>
        <w:ind w:firstLine="364" w:firstLineChars="152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(2) 参与人资格证明文件</w:t>
      </w:r>
    </w:p>
    <w:p>
      <w:pPr>
        <w:spacing w:after="0" w:line="480" w:lineRule="exact"/>
        <w:ind w:firstLine="57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(3) 质保期和售后服务承诺书（采购物品为一般货物时需要）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据此函，签字代表宣布同意如下：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1.所附详细报价表中规定的应提供和交付的货物及服务报价总价（国内现场交货价）为人民币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，即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（中文表述）。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2.参与人已详细审查全部公开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文件，包括修改文件（如有的话）和有关附件，将自行承担因对全部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响应文件理解不正确或误解而产生的相应后果。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3.参与人保证遵守公开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文件的全部规定，参与人所提交的材料中所含的信息均为真实、准确、完整，且不具有任何误导性。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4.参与人将按公开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文件的规定履行合同责任和义务。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5.参与人同意提供按照采购单位可能要求的与其公开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有关的一切数据或资料，完全理解贵方不一定要接受最低的报价或收到的任何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响应文件。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6.与本此公开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有关的一切正式往来通讯请寄：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地址：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邮编：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电话：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传真：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参与人授权代表签字：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</w:t>
      </w:r>
    </w:p>
    <w:p>
      <w:pPr>
        <w:spacing w:after="0" w:line="4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参与人（公司全称并加盖公章）：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pStyle w:val="14"/>
        <w:spacing w:line="480" w:lineRule="exact"/>
        <w:jc w:val="left"/>
        <w:outlineLvl w:val="9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日  期：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年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月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日</w:t>
      </w:r>
    </w:p>
    <w:p>
      <w:pPr>
        <w:rPr>
          <w:rFonts w:hint="eastAsia" w:ascii="仿宋" w:hAnsi="仿宋" w:eastAsia="仿宋" w:cs="仿宋"/>
          <w:color w:val="auto"/>
          <w:kern w:val="2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br w:type="page"/>
      </w: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2、分项报价一览表</w:t>
      </w:r>
    </w:p>
    <w:p>
      <w:pPr>
        <w:spacing w:line="380" w:lineRule="exact"/>
        <w:ind w:left="147" w:leftChars="67"/>
        <w:rPr>
          <w:rFonts w:hint="default" w:ascii="仿宋" w:hAnsi="仿宋" w:eastAsia="仿宋" w:cs="仿宋"/>
          <w:color w:val="auto"/>
          <w:sz w:val="24"/>
          <w:szCs w:val="24"/>
          <w:lang w:val="en-US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参与人：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（公司全称并加盖公章）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项目编号：</w:t>
      </w:r>
      <w:r>
        <w:rPr>
          <w:rFonts w:hint="eastAsia" w:ascii="仿宋" w:hAnsi="仿宋" w:eastAsia="仿宋" w:cs="仿宋"/>
          <w:b w:val="0"/>
          <w:bCs/>
          <w:color w:val="auto"/>
          <w:sz w:val="24"/>
          <w:szCs w:val="24"/>
          <w:lang w:val="en-US" w:eastAsia="zh-CN"/>
        </w:rPr>
        <w:t>ZZCG20220630</w:t>
      </w:r>
    </w:p>
    <w:tbl>
      <w:tblPr>
        <w:tblStyle w:val="6"/>
        <w:tblpPr w:leftFromText="180" w:rightFromText="180" w:vertAnchor="text" w:horzAnchor="page" w:tblpX="930" w:tblpY="1092"/>
        <w:tblOverlap w:val="never"/>
        <w:tblW w:w="97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0"/>
        <w:gridCol w:w="1387"/>
        <w:gridCol w:w="2415"/>
        <w:gridCol w:w="975"/>
        <w:gridCol w:w="855"/>
        <w:gridCol w:w="1095"/>
        <w:gridCol w:w="1305"/>
        <w:gridCol w:w="8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物品名称</w:t>
            </w:r>
          </w:p>
        </w:tc>
        <w:tc>
          <w:tcPr>
            <w:tcW w:w="2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规格型号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数量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单价（元）</w:t>
            </w: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总价（元）</w:t>
            </w: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</w:trPr>
        <w:tc>
          <w:tcPr>
            <w:tcW w:w="9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3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eastAsia="zh-CN"/>
              </w:rPr>
              <w:t>钢琴</w:t>
            </w:r>
          </w:p>
        </w:tc>
        <w:tc>
          <w:tcPr>
            <w:tcW w:w="241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珠江UP118M+</w:t>
            </w:r>
          </w:p>
          <w:p>
            <w:pPr>
              <w:jc w:val="center"/>
              <w:rPr>
                <w:rFonts w:hint="eastAsia" w:eastAsia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  <w:lang w:val="en-US" w:eastAsia="zh-CN"/>
              </w:rPr>
              <w:t>(需加装原厂缓降器）</w:t>
            </w:r>
          </w:p>
        </w:tc>
        <w:tc>
          <w:tcPr>
            <w:tcW w:w="9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eastAsia="zh-CN"/>
              </w:rPr>
              <w:t>台</w:t>
            </w:r>
          </w:p>
        </w:tc>
        <w:tc>
          <w:tcPr>
            <w:tcW w:w="8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6</w:t>
            </w:r>
          </w:p>
        </w:tc>
        <w:tc>
          <w:tcPr>
            <w:tcW w:w="10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8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000000"/>
                <w:sz w:val="24"/>
                <w:szCs w:val="24"/>
              </w:rPr>
            </w:pPr>
          </w:p>
        </w:tc>
      </w:tr>
    </w:tbl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ind w:left="147" w:leftChars="67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注：1.如果按单价计算的结果与总价不一致,以单价为准修正总价。</w:t>
      </w:r>
    </w:p>
    <w:p>
      <w:pPr>
        <w:spacing w:line="380" w:lineRule="exact"/>
        <w:ind w:left="147" w:leftChars="67"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2.如果不提供详细参数和报价将视为没有实质性响应公开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文件。</w:t>
      </w:r>
    </w:p>
    <w:p>
      <w:pPr>
        <w:spacing w:line="380" w:lineRule="exact"/>
        <w:ind w:left="147" w:leftChars="67"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zh-CN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3.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 w:eastAsia="zh-CN"/>
        </w:rPr>
        <w:t>此报价为一次性报价。</w:t>
      </w:r>
    </w:p>
    <w:p>
      <w:pPr>
        <w:spacing w:line="380" w:lineRule="exact"/>
        <w:ind w:left="147" w:leftChars="67"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4.以上报价含税、含运费、需开具增值税普通发票。</w:t>
      </w:r>
    </w:p>
    <w:p>
      <w:pPr>
        <w:pStyle w:val="2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</w:p>
    <w:p>
      <w:pPr>
        <w:spacing w:after="0" w:line="3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  <w:lang w:val="zh-CN"/>
        </w:rPr>
      </w:pPr>
    </w:p>
    <w:p>
      <w:pPr>
        <w:spacing w:line="360" w:lineRule="auto"/>
        <w:ind w:right="960" w:firstLine="3120" w:firstLineChars="1300"/>
        <w:jc w:val="both"/>
        <w:rPr>
          <w:rFonts w:hint="eastAsia" w:ascii="仿宋" w:hAnsi="仿宋" w:eastAsia="仿宋" w:cs="仿宋"/>
          <w:color w:val="auto"/>
          <w:sz w:val="24"/>
          <w:szCs w:val="24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参与人授权代表（签字或盖章）：</w:t>
      </w:r>
    </w:p>
    <w:p>
      <w:pPr>
        <w:spacing w:line="360" w:lineRule="auto"/>
        <w:ind w:right="960" w:firstLine="5040" w:firstLineChars="2100"/>
        <w:jc w:val="both"/>
        <w:rPr>
          <w:rFonts w:hint="eastAsia" w:ascii="仿宋" w:hAnsi="仿宋" w:eastAsia="仿宋" w:cs="仿宋"/>
          <w:color w:val="auto"/>
          <w:sz w:val="24"/>
          <w:szCs w:val="24"/>
          <w:lang w:val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日         期：</w:t>
      </w:r>
      <w:bookmarkStart w:id="116" w:name="_Toc193165739"/>
      <w:bookmarkStart w:id="117" w:name="_Toc219800249"/>
      <w:bookmarkStart w:id="118" w:name="_Toc193160453"/>
      <w:bookmarkStart w:id="119" w:name="_Toc255975016"/>
      <w:bookmarkStart w:id="120" w:name="_Toc258401265"/>
      <w:bookmarkStart w:id="121" w:name="_Toc211917121"/>
      <w:bookmarkStart w:id="122" w:name="_Toc259520874"/>
      <w:bookmarkStart w:id="123" w:name="_Toc227058536"/>
      <w:bookmarkStart w:id="124" w:name="_Toc253066624"/>
      <w:bookmarkStart w:id="125" w:name="_Toc225669328"/>
      <w:bookmarkStart w:id="126" w:name="_Toc251613839"/>
      <w:bookmarkStart w:id="127" w:name="_Toc191803631"/>
      <w:bookmarkStart w:id="128" w:name="_Toc267059811"/>
      <w:bookmarkStart w:id="129" w:name="_Toc266870441"/>
      <w:bookmarkStart w:id="130" w:name="_Toc266870916"/>
      <w:bookmarkStart w:id="131" w:name="_Toc160880534"/>
      <w:bookmarkStart w:id="132" w:name="_Toc266868679"/>
      <w:bookmarkStart w:id="133" w:name="_Toc232302122"/>
      <w:bookmarkStart w:id="134" w:name="_Toc267059035"/>
      <w:bookmarkStart w:id="135" w:name="_Toc267060326"/>
      <w:bookmarkStart w:id="136" w:name="_Toc213755945"/>
      <w:bookmarkStart w:id="137" w:name="_Toc192996451"/>
      <w:bookmarkStart w:id="138" w:name="_Toc191802695"/>
      <w:bookmarkStart w:id="139" w:name="_Toc180302918"/>
      <w:bookmarkStart w:id="140" w:name="_Toc182372787"/>
      <w:bookmarkStart w:id="141" w:name="_Toc213755864"/>
      <w:bookmarkStart w:id="142" w:name="_Toc259692656"/>
      <w:bookmarkStart w:id="143" w:name="_Toc213756001"/>
      <w:bookmarkStart w:id="144" w:name="_Toc213208771"/>
      <w:bookmarkStart w:id="145" w:name="_Toc251586241"/>
      <w:bookmarkStart w:id="146" w:name="_Toc192663691"/>
      <w:bookmarkStart w:id="147" w:name="_Toc181436570"/>
      <w:bookmarkStart w:id="148" w:name="_Toc192663840"/>
      <w:bookmarkStart w:id="149" w:name="_Toc191789334"/>
      <w:bookmarkStart w:id="150" w:name="_Toc192996343"/>
      <w:bookmarkStart w:id="151" w:name="_Toc267060216"/>
      <w:bookmarkStart w:id="152" w:name="_Toc267059658"/>
      <w:bookmarkStart w:id="153" w:name="_Toc259692749"/>
      <w:bookmarkStart w:id="154" w:name="_Toc230071153"/>
      <w:bookmarkStart w:id="155" w:name="_Toc203355738"/>
      <w:bookmarkStart w:id="156" w:name="_Toc217891408"/>
      <w:bookmarkStart w:id="157" w:name="_Toc266870839"/>
      <w:bookmarkStart w:id="158" w:name="_Toc169332954"/>
      <w:bookmarkStart w:id="159" w:name="_Toc182805222"/>
      <w:bookmarkStart w:id="160" w:name="_Toc235438352"/>
      <w:bookmarkStart w:id="161" w:name="_Toc235437998"/>
      <w:bookmarkStart w:id="162" w:name="_Toc160880165"/>
      <w:bookmarkStart w:id="163" w:name="_Toc169332843"/>
      <w:bookmarkStart w:id="164" w:name="_Toc192664158"/>
      <w:bookmarkStart w:id="165" w:name="_Toc181436466"/>
      <w:bookmarkStart w:id="166" w:name="_Toc177985474"/>
      <w:bookmarkStart w:id="167" w:name="_Toc235438281"/>
      <w:bookmarkStart w:id="168" w:name="_Toc254790909"/>
      <w:bookmarkStart w:id="169" w:name="_Toc267059544"/>
      <w:bookmarkStart w:id="170" w:name="_Toc266868943"/>
      <w:bookmarkStart w:id="171" w:name="_Toc191783227"/>
      <w:bookmarkStart w:id="172" w:name="_Toc249325720"/>
      <w:bookmarkStart w:id="173" w:name="_Toc267060461"/>
      <w:bookmarkStart w:id="174" w:name="_Toc267060076"/>
      <w:bookmarkStart w:id="175" w:name="_Toc236021457"/>
      <w:bookmarkStart w:id="176" w:name="_Toc267059924"/>
      <w:bookmarkStart w:id="177" w:name="_Toc170798798"/>
      <w:bookmarkStart w:id="178" w:name="_Toc213756057"/>
      <w:bookmarkStart w:id="179" w:name="_Toc273178703"/>
      <w:bookmarkStart w:id="180" w:name="_Toc267059186"/>
      <w:bookmarkStart w:id="181" w:name="_Toc223146614"/>
    </w:p>
    <w:p>
      <w:pPr>
        <w:spacing w:line="380" w:lineRule="exact"/>
        <w:ind w:right="1120" w:firstLine="3600" w:firstLineChars="1500"/>
        <w:outlineLvl w:val="2"/>
        <w:rPr>
          <w:rFonts w:hint="eastAsia" w:ascii="仿宋" w:hAnsi="仿宋" w:eastAsia="仿宋" w:cs="仿宋"/>
          <w:bCs/>
          <w:color w:val="auto"/>
          <w:sz w:val="24"/>
          <w:szCs w:val="24"/>
          <w:u w:val="single"/>
        </w:rPr>
      </w:pPr>
    </w:p>
    <w:p>
      <w:pPr>
        <w:spacing w:line="380" w:lineRule="exact"/>
        <w:ind w:right="1120" w:firstLine="3600" w:firstLineChars="1500"/>
        <w:outlineLvl w:val="2"/>
        <w:rPr>
          <w:rFonts w:hint="eastAsia" w:ascii="仿宋" w:hAnsi="仿宋" w:eastAsia="仿宋" w:cs="仿宋"/>
          <w:bCs/>
          <w:color w:val="auto"/>
          <w:sz w:val="24"/>
          <w:szCs w:val="24"/>
          <w:u w:val="single"/>
        </w:rPr>
      </w:pPr>
    </w:p>
    <w:p>
      <w:pPr>
        <w:spacing w:line="380" w:lineRule="exact"/>
        <w:ind w:right="1120"/>
        <w:outlineLvl w:val="2"/>
        <w:rPr>
          <w:rFonts w:hint="eastAsia" w:ascii="仿宋" w:hAnsi="仿宋" w:eastAsia="仿宋" w:cs="仿宋"/>
          <w:bCs/>
          <w:color w:val="auto"/>
          <w:sz w:val="24"/>
          <w:szCs w:val="24"/>
          <w:u w:val="single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pStyle w:val="2"/>
        <w:rPr>
          <w:rFonts w:hint="eastAsia" w:ascii="仿宋" w:hAnsi="仿宋" w:eastAsia="仿宋" w:cs="仿宋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3、参与人的资格证明文件</w:t>
      </w:r>
    </w:p>
    <w:p>
      <w:pPr>
        <w:pStyle w:val="14"/>
        <w:rPr>
          <w:rFonts w:hint="eastAsia" w:ascii="仿宋" w:hAnsi="仿宋" w:eastAsia="仿宋" w:cs="仿宋"/>
          <w:color w:val="auto"/>
          <w:sz w:val="28"/>
          <w:szCs w:val="28"/>
        </w:rPr>
      </w:pPr>
    </w:p>
    <w:p>
      <w:pPr>
        <w:spacing w:line="380" w:lineRule="exact"/>
        <w:jc w:val="center"/>
        <w:outlineLvl w:val="2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bookmarkStart w:id="182" w:name="_Toc227058537"/>
      <w:bookmarkStart w:id="183" w:name="_Toc255975017"/>
      <w:bookmarkStart w:id="184" w:name="_Toc266870442"/>
      <w:bookmarkStart w:id="185" w:name="_Toc258401266"/>
      <w:bookmarkStart w:id="186" w:name="_Toc259520875"/>
      <w:bookmarkStart w:id="187" w:name="_Toc230071154"/>
      <w:bookmarkStart w:id="188" w:name="_Toc213756058"/>
      <w:bookmarkStart w:id="189" w:name="_Toc259692750"/>
      <w:bookmarkStart w:id="190" w:name="_Toc249325721"/>
      <w:bookmarkStart w:id="191" w:name="_Toc223146615"/>
      <w:bookmarkStart w:id="192" w:name="_Toc267060462"/>
      <w:bookmarkStart w:id="193" w:name="_Toc266870917"/>
      <w:bookmarkStart w:id="194" w:name="_Toc219800250"/>
      <w:bookmarkStart w:id="195" w:name="_Toc259692657"/>
      <w:bookmarkStart w:id="196" w:name="_Toc267060077"/>
      <w:bookmarkStart w:id="197" w:name="_Toc267060217"/>
      <w:bookmarkStart w:id="198" w:name="_Toc235438282"/>
      <w:bookmarkStart w:id="199" w:name="_Toc251613840"/>
      <w:bookmarkStart w:id="200" w:name="_Toc232302123"/>
      <w:bookmarkStart w:id="201" w:name="_Toc253066625"/>
      <w:bookmarkStart w:id="202" w:name="_Toc236021458"/>
      <w:bookmarkStart w:id="203" w:name="_Toc266868680"/>
      <w:bookmarkStart w:id="204" w:name="_Toc235437999"/>
      <w:bookmarkStart w:id="205" w:name="_Toc217891409"/>
      <w:bookmarkStart w:id="206" w:name="_Toc254790910"/>
      <w:bookmarkStart w:id="207" w:name="_Toc235438353"/>
      <w:bookmarkStart w:id="208" w:name="_Toc251586242"/>
      <w:bookmarkStart w:id="209" w:name="_Toc22566932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t>3-1关于资格的声明函</w:t>
      </w:r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r>
        <w:rPr>
          <w:rFonts w:hint="eastAsia" w:ascii="仿宋" w:hAnsi="仿宋" w:eastAsia="仿宋" w:cs="仿宋"/>
          <w:b/>
          <w:color w:val="auto"/>
          <w:sz w:val="28"/>
          <w:szCs w:val="28"/>
        </w:rPr>
        <w:cr/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bookmarkStart w:id="210" w:name="_Hlk511663739"/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学校：</w:t>
      </w:r>
      <w:bookmarkEnd w:id="210"/>
    </w:p>
    <w:p>
      <w:pPr>
        <w:spacing w:after="0"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关于贵方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年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月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日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（项目编号）公开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邀请，本签字人愿意参加本次报价，提供公开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文件中规定的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货物，并证明提交的下列文件和说明是准确的和真实的。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1．本签字人确认资格文件中的说明以及公开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文件中所有提交的文件和材料是真实的、准确的。</w:t>
      </w:r>
    </w:p>
    <w:p>
      <w:pPr>
        <w:spacing w:after="0"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2．我方的资格声明正本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份，副本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份，随报价响应文件一同递交。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地          址：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         编：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话或传  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    </w:t>
      </w:r>
      <w:bookmarkStart w:id="211" w:name="_Toc255975018"/>
      <w:bookmarkStart w:id="212" w:name="_Toc213756059"/>
      <w:bookmarkStart w:id="213" w:name="_Toc253066626"/>
      <w:bookmarkStart w:id="214" w:name="_Toc225669330"/>
      <w:bookmarkStart w:id="215" w:name="_Toc232302124"/>
      <w:bookmarkStart w:id="216" w:name="_Toc235438000"/>
      <w:bookmarkStart w:id="217" w:name="_Toc230071155"/>
      <w:bookmarkStart w:id="218" w:name="_Toc266870443"/>
      <w:bookmarkStart w:id="219" w:name="_Toc251613841"/>
      <w:bookmarkStart w:id="220" w:name="_Toc254790911"/>
      <w:bookmarkStart w:id="221" w:name="_Toc235438283"/>
      <w:bookmarkStart w:id="222" w:name="_Toc227058538"/>
      <w:bookmarkStart w:id="223" w:name="_Toc259692658"/>
      <w:bookmarkStart w:id="224" w:name="_Toc259520876"/>
      <w:bookmarkStart w:id="225" w:name="_Toc266870918"/>
      <w:bookmarkStart w:id="226" w:name="_Toc251586243"/>
      <w:bookmarkStart w:id="227" w:name="_Toc223146616"/>
      <w:bookmarkStart w:id="228" w:name="_Toc219800251"/>
      <w:bookmarkStart w:id="229" w:name="_Toc249325722"/>
      <w:bookmarkStart w:id="230" w:name="_Toc236021459"/>
      <w:bookmarkStart w:id="231" w:name="_Toc235438354"/>
      <w:bookmarkStart w:id="232" w:name="_Toc217891410"/>
      <w:bookmarkStart w:id="233" w:name="_Toc266868681"/>
      <w:bookmarkStart w:id="234" w:name="_Toc259692751"/>
      <w:bookmarkStart w:id="235" w:name="_Toc258401267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br w:type="page"/>
      </w:r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p>
      <w:pPr>
        <w:spacing w:after="0" w:line="380" w:lineRule="exact"/>
        <w:jc w:val="center"/>
        <w:rPr>
          <w:rFonts w:hint="eastAsia" w:ascii="仿宋" w:hAnsi="仿宋" w:eastAsia="仿宋" w:cs="仿宋"/>
          <w:b/>
          <w:color w:val="auto"/>
          <w:sz w:val="24"/>
          <w:szCs w:val="24"/>
        </w:rPr>
      </w:pPr>
      <w:bookmarkStart w:id="236" w:name="_Toc259520882"/>
      <w:bookmarkStart w:id="237" w:name="_Toc266870840"/>
      <w:bookmarkStart w:id="238" w:name="_Toc267060467"/>
      <w:bookmarkStart w:id="239" w:name="_Toc235438004"/>
      <w:bookmarkStart w:id="240" w:name="_Toc266870923"/>
      <w:bookmarkStart w:id="241" w:name="_Toc236021463"/>
      <w:bookmarkStart w:id="242" w:name="_Toc259692757"/>
      <w:bookmarkStart w:id="243" w:name="_Toc259692664"/>
      <w:bookmarkStart w:id="244" w:name="_Toc267060327"/>
      <w:bookmarkStart w:id="245" w:name="_Toc266868944"/>
      <w:bookmarkStart w:id="246" w:name="_Toc266868687"/>
      <w:bookmarkStart w:id="247" w:name="_Toc251613845"/>
      <w:bookmarkStart w:id="248" w:name="_Toc267059187"/>
      <w:bookmarkStart w:id="249" w:name="_Toc253066630"/>
      <w:bookmarkStart w:id="250" w:name="_Toc266870448"/>
      <w:bookmarkStart w:id="251" w:name="_Toc235438358"/>
      <w:bookmarkStart w:id="252" w:name="_Toc267059036"/>
      <w:bookmarkStart w:id="253" w:name="_Toc251586247"/>
      <w:bookmarkStart w:id="254" w:name="_Toc267060082"/>
      <w:bookmarkStart w:id="255" w:name="_Toc232302128"/>
      <w:bookmarkStart w:id="256" w:name="_Toc258401273"/>
      <w:bookmarkStart w:id="257" w:name="_Toc267059925"/>
      <w:bookmarkStart w:id="258" w:name="_Toc267059812"/>
      <w:bookmarkStart w:id="259" w:name="_Toc235438287"/>
      <w:bookmarkStart w:id="260" w:name="_Toc249325726"/>
      <w:bookmarkStart w:id="261" w:name="_Toc267059545"/>
      <w:bookmarkStart w:id="262" w:name="_Toc255975024"/>
      <w:bookmarkStart w:id="263" w:name="_Toc254790917"/>
      <w:bookmarkStart w:id="264" w:name="_Toc267059659"/>
      <w:bookmarkStart w:id="265" w:name="_Toc273178704"/>
      <w:bookmarkStart w:id="266" w:name="_Toc267060222"/>
      <w:r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-2法定代表人授权书</w:t>
      </w:r>
      <w:r>
        <w:rPr>
          <w:rFonts w:hint="eastAsia" w:ascii="仿宋" w:hAnsi="仿宋" w:eastAsia="仿宋" w:cs="仿宋"/>
          <w:b/>
          <w:color w:val="auto"/>
          <w:sz w:val="24"/>
          <w:szCs w:val="24"/>
        </w:rPr>
        <w:cr/>
      </w:r>
    </w:p>
    <w:p>
      <w:pPr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（参与人全称）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法定代表人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（姓名）、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（身份证号）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授权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  <w:lang w:val="zh-CN"/>
        </w:rPr>
        <w:t>（报价授权代表姓名）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为参与人代表，代表本公司参加贵司组织的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项目（项目编号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）公开询价活动，全权代表本公司处理报价过程的一切事宜，包括但不限于：磋商、谈判、签约等。参与人代表在磋商、谈判、签约过程中所签署的一切文件和处理与之有关的一切事务，本公司均予以认可并对此承担责任。参与人代表无转委权。特此授权。</w:t>
      </w:r>
    </w:p>
    <w:p>
      <w:pPr>
        <w:autoSpaceDE w:val="0"/>
        <w:autoSpaceDN w:val="0"/>
        <w:adjustRightInd w:val="0"/>
        <w:spacing w:line="500" w:lineRule="exact"/>
        <w:ind w:firstLine="480" w:firstLineChars="200"/>
        <w:jc w:val="lef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本授权书自出具之日起生效。</w:t>
      </w:r>
    </w:p>
    <w:p>
      <w:pPr>
        <w:autoSpaceDE w:val="0"/>
        <w:autoSpaceDN w:val="0"/>
        <w:adjustRightInd w:val="0"/>
        <w:spacing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法定代表人签字：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参与人(公章)：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日  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附: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报价授权委托人姓名：（签字）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职        务：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详细通讯地址：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邮 政 编 码 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传        真：</w:t>
      </w:r>
    </w:p>
    <w:p>
      <w:pPr>
        <w:spacing w:after="0" w:line="50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电        话：</w:t>
      </w:r>
    </w:p>
    <w:p>
      <w:pPr>
        <w:spacing w:after="0" w:line="500" w:lineRule="exact"/>
        <w:jc w:val="left"/>
        <w:outlineLvl w:val="1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  <w:lang w:val="zh-CN"/>
        </w:rPr>
        <w:t>附：被授权人身份证件</w:t>
      </w: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br w:type="page"/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color w:val="auto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-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3企业</w:t>
      </w:r>
      <w:r>
        <w:rPr>
          <w:rFonts w:hint="eastAsia" w:ascii="仿宋" w:hAnsi="仿宋" w:eastAsia="仿宋" w:cs="仿宋"/>
          <w:b/>
          <w:color w:val="auto"/>
          <w:sz w:val="28"/>
          <w:szCs w:val="28"/>
        </w:rPr>
        <w:t>法人营业执照（复印件）</w:t>
      </w:r>
    </w:p>
    <w:p>
      <w:pPr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郑州城轨交通中等专业学校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</w:p>
    <w:p>
      <w:pPr>
        <w:spacing w:line="46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现附上由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（签发机关名称）签发的我方法人营业执照，该执照业经年检，真实有效。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参 与 人（全称并加盖公章）：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报价授权委托人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</w:t>
      </w:r>
    </w:p>
    <w:p>
      <w:pPr>
        <w:spacing w:line="46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 w:cs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4.质保期和售后服务承诺书</w:t>
      </w:r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</w:p>
    <w:p>
      <w:pPr>
        <w:widowControl w:val="0"/>
        <w:spacing w:after="0" w:line="240" w:lineRule="auto"/>
        <w:ind w:left="420"/>
        <w:jc w:val="center"/>
        <w:outlineLvl w:val="1"/>
        <w:rPr>
          <w:rFonts w:hint="eastAsia" w:ascii="仿宋" w:hAnsi="仿宋" w:eastAsia="仿宋" w:cs="仿宋"/>
          <w:b/>
          <w:color w:val="auto"/>
          <w:sz w:val="24"/>
          <w:szCs w:val="24"/>
        </w:rPr>
      </w:pPr>
    </w:p>
    <w:p>
      <w:pPr>
        <w:rPr>
          <w:rFonts w:hint="eastAsia" w:ascii="仿宋" w:hAnsi="仿宋" w:eastAsia="仿宋" w:cs="仿宋"/>
          <w:b/>
          <w:color w:val="auto"/>
          <w:sz w:val="24"/>
          <w:szCs w:val="24"/>
        </w:rPr>
      </w:pPr>
      <w:r>
        <w:rPr>
          <w:rFonts w:hint="eastAsia" w:ascii="仿宋" w:hAnsi="仿宋" w:eastAsia="仿宋" w:cs="仿宋"/>
          <w:b/>
          <w:color w:val="auto"/>
          <w:sz w:val="24"/>
          <w:szCs w:val="24"/>
        </w:rPr>
        <w:t xml:space="preserve">   </w:t>
      </w:r>
    </w:p>
    <w:p>
      <w:pPr>
        <w:spacing w:line="500" w:lineRule="exact"/>
        <w:ind w:firstLine="480" w:firstLineChars="2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参与人根据公开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询价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文件中对售后服务的要求，结合自身实际情况进行承诺（含产品质量保障体系等）、交货周期承诺等。</w:t>
      </w:r>
    </w:p>
    <w:p>
      <w:pPr>
        <w:spacing w:line="50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承诺如下：</w:t>
      </w:r>
    </w:p>
    <w:p>
      <w:pPr>
        <w:spacing w:line="420" w:lineRule="exact"/>
        <w:ind w:firstLine="480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line="380" w:lineRule="exact"/>
        <w:ind w:firstLine="3120" w:firstLineChars="1300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参 与 人（</w:t>
      </w:r>
      <w:r>
        <w:rPr>
          <w:rFonts w:hint="eastAsia" w:ascii="仿宋" w:hAnsi="仿宋" w:eastAsia="仿宋" w:cs="仿宋"/>
          <w:color w:val="auto"/>
          <w:sz w:val="24"/>
          <w:szCs w:val="24"/>
          <w:lang w:val="zh-CN"/>
        </w:rPr>
        <w:t>公司全称并加盖公章</w:t>
      </w:r>
      <w:r>
        <w:rPr>
          <w:rFonts w:hint="eastAsia" w:ascii="仿宋" w:hAnsi="仿宋" w:eastAsia="仿宋" w:cs="仿宋"/>
          <w:color w:val="auto"/>
          <w:sz w:val="24"/>
          <w:szCs w:val="24"/>
        </w:rPr>
        <w:t>）：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</w:t>
      </w: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   参与人授权代表：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</w:t>
      </w:r>
    </w:p>
    <w:p>
      <w:pPr>
        <w:spacing w:line="420" w:lineRule="exact"/>
        <w:ind w:firstLine="426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 xml:space="preserve">                       日      期：</w:t>
      </w:r>
      <w:r>
        <w:rPr>
          <w:rFonts w:hint="eastAsia" w:ascii="仿宋" w:hAnsi="仿宋" w:eastAsia="仿宋" w:cs="仿宋"/>
          <w:color w:val="auto"/>
          <w:sz w:val="24"/>
          <w:szCs w:val="24"/>
          <w:u w:val="single"/>
        </w:rPr>
        <w:t xml:space="preserve">                                </w:t>
      </w:r>
    </w:p>
    <w:p>
      <w:pPr>
        <w:spacing w:line="380" w:lineRule="exact"/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spacing w:after="0" w:line="480" w:lineRule="exact"/>
        <w:ind w:firstLine="570"/>
        <w:jc w:val="center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</w:p>
    <w:p>
      <w:pPr>
        <w:pStyle w:val="2"/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</w:pPr>
      <w:bookmarkStart w:id="267" w:name="_GoBack"/>
      <w:bookmarkEnd w:id="267"/>
    </w:p>
    <w:p>
      <w:pPr>
        <w:spacing w:after="0" w:line="480" w:lineRule="exact"/>
        <w:ind w:firstLine="3258" w:firstLineChars="1159"/>
        <w:jc w:val="both"/>
        <w:rPr>
          <w:rFonts w:ascii="仿宋" w:hAnsi="仿宋" w:eastAsia="仿宋"/>
          <w:b/>
          <w:bCs/>
          <w:color w:val="auto"/>
          <w:sz w:val="28"/>
          <w:szCs w:val="28"/>
        </w:rPr>
      </w:pPr>
      <w:r>
        <w:rPr>
          <w:rFonts w:hint="eastAsia" w:ascii="仿宋" w:hAnsi="仿宋" w:eastAsia="仿宋"/>
          <w:b/>
          <w:bCs/>
          <w:color w:val="auto"/>
          <w:sz w:val="28"/>
          <w:szCs w:val="28"/>
          <w:lang w:val="en-US" w:eastAsia="zh-CN"/>
        </w:rPr>
        <w:t>5、资格审查表</w:t>
      </w:r>
    </w:p>
    <w:p/>
    <w:tbl>
      <w:tblPr>
        <w:tblStyle w:val="6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sz w:val="44"/>
                <w:szCs w:val="4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auto"/>
                <w:kern w:val="0"/>
                <w:sz w:val="44"/>
                <w:szCs w:val="44"/>
                <w:u w:val="none"/>
                <w:lang w:val="en-US" w:eastAsia="zh-CN" w:bidi="ar"/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级别：                          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经济性质：</w:t>
            </w:r>
          </w:p>
        </w:tc>
      </w:tr>
    </w:tbl>
    <w:p>
      <w:pPr>
        <w:rPr>
          <w:rFonts w:hint="default"/>
          <w:lang w:val="en-US" w:eastAsia="zh-CN"/>
        </w:rPr>
      </w:pPr>
    </w:p>
    <w:sectPr>
      <w:headerReference r:id="rId8" w:type="default"/>
      <w:pgSz w:w="11906" w:h="16838"/>
      <w:pgMar w:top="1440" w:right="1274" w:bottom="1440" w:left="1276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01938744"/>
      <w:docPartObj>
        <w:docPartGallery w:val="autotext"/>
      </w:docPartObj>
    </w:sdtPr>
    <w:sdtContent>
      <w:sdt>
        <w:sdtPr>
          <w:id w:val="-1705238520"/>
          <w:docPartObj>
            <w:docPartGallery w:val="autotext"/>
          </w:docPartObj>
        </w:sdtPr>
        <w:sdtContent>
          <w:p>
            <w:pPr>
              <w:pStyle w:val="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b/>
        <w:bCs/>
        <w:sz w:val="24"/>
        <w:szCs w:val="24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  <w:r>
      <w:rPr>
        <w:rFonts w:hint="eastAsia"/>
        <w:lang w:val="en-US" w:eastAsia="zh-CN"/>
      </w:rPr>
      <w:drawing>
        <wp:inline distT="0" distB="0" distL="114300" distR="114300">
          <wp:extent cx="3159760" cy="413385"/>
          <wp:effectExtent l="0" t="0" r="10160" b="13335"/>
          <wp:docPr id="8" name="图片 8" descr="校名透明背景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图片 8" descr="校名透明背景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159760" cy="4133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tabs>
        <w:tab w:val="center" w:pos="4737"/>
        <w:tab w:val="left" w:pos="5248"/>
        <w:tab w:val="left" w:pos="7558"/>
      </w:tabs>
      <w:jc w:val="center"/>
      <w:rPr>
        <w:rFonts w:hint="eastAsia"/>
        <w:lang w:val="en-US" w:eastAsia="zh-CN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rPr>
        <w:rFonts w:hint="eastAsia"/>
        <w:lang w:val="en-US" w:eastAsia="zh-CN"/>
      </w:rPr>
    </w:pPr>
    <w:r>
      <w:rPr>
        <w:rFonts w:hint="eastAsia"/>
        <w:lang w:val="en-US" w:eastAsia="zh-CN"/>
      </w:rPr>
      <w:t>郑州城轨交通中等专业学校空调维修项目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both"/>
      <w:rPr>
        <w:rFonts w:ascii="仿宋" w:hAnsi="仿宋" w:eastAsia="仿宋"/>
        <w:sz w:val="21"/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476F1"/>
    <w:multiLevelType w:val="multilevel"/>
    <w:tmpl w:val="047476F1"/>
    <w:lvl w:ilvl="0" w:tentative="0">
      <w:start w:val="1"/>
      <w:numFmt w:val="decimal"/>
      <w:lvlText w:val="（%1）"/>
      <w:lvlJc w:val="left"/>
      <w:pPr>
        <w:ind w:left="1428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48" w:hanging="420"/>
      </w:pPr>
    </w:lvl>
    <w:lvl w:ilvl="2" w:tentative="0">
      <w:start w:val="1"/>
      <w:numFmt w:val="lowerRoman"/>
      <w:lvlText w:val="%3."/>
      <w:lvlJc w:val="right"/>
      <w:pPr>
        <w:ind w:left="1968" w:hanging="420"/>
      </w:pPr>
    </w:lvl>
    <w:lvl w:ilvl="3" w:tentative="0">
      <w:start w:val="1"/>
      <w:numFmt w:val="decimal"/>
      <w:lvlText w:val="%4."/>
      <w:lvlJc w:val="left"/>
      <w:pPr>
        <w:ind w:left="2388" w:hanging="420"/>
      </w:pPr>
    </w:lvl>
    <w:lvl w:ilvl="4" w:tentative="0">
      <w:start w:val="1"/>
      <w:numFmt w:val="lowerLetter"/>
      <w:lvlText w:val="%5)"/>
      <w:lvlJc w:val="left"/>
      <w:pPr>
        <w:ind w:left="2808" w:hanging="420"/>
      </w:pPr>
    </w:lvl>
    <w:lvl w:ilvl="5" w:tentative="0">
      <w:start w:val="1"/>
      <w:numFmt w:val="lowerRoman"/>
      <w:lvlText w:val="%6."/>
      <w:lvlJc w:val="right"/>
      <w:pPr>
        <w:ind w:left="3228" w:hanging="420"/>
      </w:pPr>
    </w:lvl>
    <w:lvl w:ilvl="6" w:tentative="0">
      <w:start w:val="1"/>
      <w:numFmt w:val="decimal"/>
      <w:lvlText w:val="%7."/>
      <w:lvlJc w:val="left"/>
      <w:pPr>
        <w:ind w:left="3648" w:hanging="420"/>
      </w:pPr>
    </w:lvl>
    <w:lvl w:ilvl="7" w:tentative="0">
      <w:start w:val="1"/>
      <w:numFmt w:val="lowerLetter"/>
      <w:lvlText w:val="%8)"/>
      <w:lvlJc w:val="left"/>
      <w:pPr>
        <w:ind w:left="4068" w:hanging="420"/>
      </w:pPr>
    </w:lvl>
    <w:lvl w:ilvl="8" w:tentative="0">
      <w:start w:val="1"/>
      <w:numFmt w:val="lowerRoman"/>
      <w:lvlText w:val="%9."/>
      <w:lvlJc w:val="right"/>
      <w:pPr>
        <w:ind w:left="4488" w:hanging="420"/>
      </w:pPr>
    </w:lvl>
  </w:abstractNum>
  <w:abstractNum w:abstractNumId="1">
    <w:nsid w:val="0DB8C3A7"/>
    <w:multiLevelType w:val="singleLevel"/>
    <w:tmpl w:val="0DB8C3A7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3">
    <w:nsid w:val="687F21A7"/>
    <w:multiLevelType w:val="multilevel"/>
    <w:tmpl w:val="687F21A7"/>
    <w:lvl w:ilvl="0" w:tentative="0">
      <w:start w:val="1"/>
      <w:numFmt w:val="decimal"/>
      <w:lvlText w:val="%1."/>
      <w:lvlJc w:val="left"/>
      <w:pPr>
        <w:ind w:left="846" w:hanging="420"/>
      </w:pPr>
    </w:lvl>
    <w:lvl w:ilvl="1" w:tentative="0">
      <w:start w:val="1"/>
      <w:numFmt w:val="lowerLetter"/>
      <w:lvlText w:val="%2)"/>
      <w:lvlJc w:val="left"/>
      <w:pPr>
        <w:ind w:left="1266" w:hanging="420"/>
      </w:pPr>
    </w:lvl>
    <w:lvl w:ilvl="2" w:tentative="0">
      <w:start w:val="1"/>
      <w:numFmt w:val="lowerRoman"/>
      <w:lvlText w:val="%3."/>
      <w:lvlJc w:val="right"/>
      <w:pPr>
        <w:ind w:left="1686" w:hanging="420"/>
      </w:pPr>
    </w:lvl>
    <w:lvl w:ilvl="3" w:tentative="0">
      <w:start w:val="1"/>
      <w:numFmt w:val="decimal"/>
      <w:lvlText w:val="%4."/>
      <w:lvlJc w:val="left"/>
      <w:pPr>
        <w:ind w:left="2106" w:hanging="420"/>
      </w:pPr>
    </w:lvl>
    <w:lvl w:ilvl="4" w:tentative="0">
      <w:start w:val="1"/>
      <w:numFmt w:val="lowerLetter"/>
      <w:lvlText w:val="%5)"/>
      <w:lvlJc w:val="left"/>
      <w:pPr>
        <w:ind w:left="2526" w:hanging="420"/>
      </w:pPr>
    </w:lvl>
    <w:lvl w:ilvl="5" w:tentative="0">
      <w:start w:val="1"/>
      <w:numFmt w:val="lowerRoman"/>
      <w:lvlText w:val="%6."/>
      <w:lvlJc w:val="right"/>
      <w:pPr>
        <w:ind w:left="2946" w:hanging="420"/>
      </w:pPr>
    </w:lvl>
    <w:lvl w:ilvl="6" w:tentative="0">
      <w:start w:val="1"/>
      <w:numFmt w:val="decimal"/>
      <w:lvlText w:val="%7."/>
      <w:lvlJc w:val="left"/>
      <w:pPr>
        <w:ind w:left="3366" w:hanging="420"/>
      </w:pPr>
    </w:lvl>
    <w:lvl w:ilvl="7" w:tentative="0">
      <w:start w:val="1"/>
      <w:numFmt w:val="lowerLetter"/>
      <w:lvlText w:val="%8)"/>
      <w:lvlJc w:val="left"/>
      <w:pPr>
        <w:ind w:left="3786" w:hanging="420"/>
      </w:pPr>
    </w:lvl>
    <w:lvl w:ilvl="8" w:tentative="0">
      <w:start w:val="1"/>
      <w:numFmt w:val="lowerRoman"/>
      <w:lvlText w:val="%9."/>
      <w:lvlJc w:val="right"/>
      <w:pPr>
        <w:ind w:left="4206" w:hanging="42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7745E"/>
    <w:rsid w:val="054F044C"/>
    <w:rsid w:val="05D25970"/>
    <w:rsid w:val="07312C38"/>
    <w:rsid w:val="08712599"/>
    <w:rsid w:val="09073D38"/>
    <w:rsid w:val="09A17482"/>
    <w:rsid w:val="09C81B5D"/>
    <w:rsid w:val="0A5D5AE3"/>
    <w:rsid w:val="0BAC2AE9"/>
    <w:rsid w:val="0CCC4E19"/>
    <w:rsid w:val="0E94595C"/>
    <w:rsid w:val="0F22107F"/>
    <w:rsid w:val="11FB59BD"/>
    <w:rsid w:val="12786E77"/>
    <w:rsid w:val="13AA1057"/>
    <w:rsid w:val="14114DA8"/>
    <w:rsid w:val="14F27779"/>
    <w:rsid w:val="15A53A1A"/>
    <w:rsid w:val="15B22024"/>
    <w:rsid w:val="15DA1CF6"/>
    <w:rsid w:val="165A3089"/>
    <w:rsid w:val="16EF75FC"/>
    <w:rsid w:val="18272FAA"/>
    <w:rsid w:val="18BF482C"/>
    <w:rsid w:val="196A5238"/>
    <w:rsid w:val="19AC3B53"/>
    <w:rsid w:val="1CAE0B65"/>
    <w:rsid w:val="1CBD3B7A"/>
    <w:rsid w:val="1D344D99"/>
    <w:rsid w:val="1E2D351B"/>
    <w:rsid w:val="1F3E3C54"/>
    <w:rsid w:val="1FA53DE1"/>
    <w:rsid w:val="22C7611B"/>
    <w:rsid w:val="22CA5185"/>
    <w:rsid w:val="23094150"/>
    <w:rsid w:val="26B91CE3"/>
    <w:rsid w:val="26EC030B"/>
    <w:rsid w:val="27146367"/>
    <w:rsid w:val="27721200"/>
    <w:rsid w:val="27D91286"/>
    <w:rsid w:val="29F2342F"/>
    <w:rsid w:val="2A781DB8"/>
    <w:rsid w:val="2AA13600"/>
    <w:rsid w:val="2ADA03C1"/>
    <w:rsid w:val="2C943C86"/>
    <w:rsid w:val="2D480DE2"/>
    <w:rsid w:val="2D5F510C"/>
    <w:rsid w:val="2EB930C6"/>
    <w:rsid w:val="2F0B1AB3"/>
    <w:rsid w:val="318379B4"/>
    <w:rsid w:val="32843861"/>
    <w:rsid w:val="32AE0B6A"/>
    <w:rsid w:val="33324931"/>
    <w:rsid w:val="334E402F"/>
    <w:rsid w:val="33925D96"/>
    <w:rsid w:val="33E60823"/>
    <w:rsid w:val="34095D14"/>
    <w:rsid w:val="35D8616D"/>
    <w:rsid w:val="3638214E"/>
    <w:rsid w:val="372921DA"/>
    <w:rsid w:val="39144A7D"/>
    <w:rsid w:val="3A5122AB"/>
    <w:rsid w:val="3AB84BB3"/>
    <w:rsid w:val="3B2849B2"/>
    <w:rsid w:val="3B6B23D8"/>
    <w:rsid w:val="3B7B35B3"/>
    <w:rsid w:val="3D574656"/>
    <w:rsid w:val="3DE9754B"/>
    <w:rsid w:val="3ED6273B"/>
    <w:rsid w:val="3FAF2C65"/>
    <w:rsid w:val="3FDA3FA0"/>
    <w:rsid w:val="407C54C2"/>
    <w:rsid w:val="410D14B6"/>
    <w:rsid w:val="41C341C6"/>
    <w:rsid w:val="432A44EE"/>
    <w:rsid w:val="44A71CF3"/>
    <w:rsid w:val="44F8629E"/>
    <w:rsid w:val="46967597"/>
    <w:rsid w:val="46A144D1"/>
    <w:rsid w:val="477142CA"/>
    <w:rsid w:val="486229A0"/>
    <w:rsid w:val="49120CA3"/>
    <w:rsid w:val="491B4799"/>
    <w:rsid w:val="495D6061"/>
    <w:rsid w:val="4A054791"/>
    <w:rsid w:val="4D3B06E7"/>
    <w:rsid w:val="4EAB36FA"/>
    <w:rsid w:val="508A5C7E"/>
    <w:rsid w:val="51694182"/>
    <w:rsid w:val="5310139E"/>
    <w:rsid w:val="5336725E"/>
    <w:rsid w:val="5544108C"/>
    <w:rsid w:val="55516ADC"/>
    <w:rsid w:val="5611739F"/>
    <w:rsid w:val="566473D4"/>
    <w:rsid w:val="56D54D0D"/>
    <w:rsid w:val="57B34E02"/>
    <w:rsid w:val="586A0ED7"/>
    <w:rsid w:val="5A5F7BFF"/>
    <w:rsid w:val="5A867FB2"/>
    <w:rsid w:val="5C304778"/>
    <w:rsid w:val="5F1054A7"/>
    <w:rsid w:val="5F327C34"/>
    <w:rsid w:val="603C41A4"/>
    <w:rsid w:val="61381B75"/>
    <w:rsid w:val="617F0530"/>
    <w:rsid w:val="620834B9"/>
    <w:rsid w:val="6241427B"/>
    <w:rsid w:val="62907D5E"/>
    <w:rsid w:val="630B1B36"/>
    <w:rsid w:val="64C70257"/>
    <w:rsid w:val="650D5E9A"/>
    <w:rsid w:val="6537430D"/>
    <w:rsid w:val="65CA2E0C"/>
    <w:rsid w:val="67062B4C"/>
    <w:rsid w:val="682256CF"/>
    <w:rsid w:val="6890573A"/>
    <w:rsid w:val="6CE23A1C"/>
    <w:rsid w:val="6D5533B5"/>
    <w:rsid w:val="6F0A1A20"/>
    <w:rsid w:val="6FA53951"/>
    <w:rsid w:val="708A4E60"/>
    <w:rsid w:val="70BF39C7"/>
    <w:rsid w:val="73146B2E"/>
    <w:rsid w:val="748702F8"/>
    <w:rsid w:val="75061271"/>
    <w:rsid w:val="7699460D"/>
    <w:rsid w:val="76CC7C21"/>
    <w:rsid w:val="77BF5FFA"/>
    <w:rsid w:val="78EF37FA"/>
    <w:rsid w:val="7AA107CB"/>
    <w:rsid w:val="7CA65087"/>
    <w:rsid w:val="7D3904BF"/>
    <w:rsid w:val="7DE111F5"/>
    <w:rsid w:val="7F212645"/>
    <w:rsid w:val="7F6F18E3"/>
    <w:rsid w:val="7FAD1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 Spacing"/>
    <w:qFormat/>
    <w:uiPriority w:val="1"/>
    <w:pPr>
      <w:spacing w:after="0" w:line="240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paragraph" w:styleId="3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4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paragraph" w:customStyle="1" w:styleId="11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12">
    <w:name w:val="font51"/>
    <w:basedOn w:val="8"/>
    <w:qFormat/>
    <w:uiPriority w:val="0"/>
    <w:rPr>
      <w:rFonts w:hint="default" w:ascii="Verdana" w:hAnsi="Verdana" w:cs="Verdana"/>
      <w:color w:val="333333"/>
      <w:sz w:val="21"/>
      <w:szCs w:val="21"/>
      <w:u w:val="none"/>
    </w:rPr>
  </w:style>
  <w:style w:type="character" w:customStyle="1" w:styleId="13">
    <w:name w:val="font132"/>
    <w:basedOn w:val="8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paragraph" w:customStyle="1" w:styleId="14">
    <w:name w:val="样式3"/>
    <w:basedOn w:val="3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character" w:customStyle="1" w:styleId="15">
    <w:name w:val="font131"/>
    <w:basedOn w:val="8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header" Target="header4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1.png"/><Relationship Id="rId10" Type="http://schemas.openxmlformats.org/officeDocument/2006/relationships/image" Target="media/image2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30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Administrator.2013-20170214AS</dc:creator>
  <cp:lastModifiedBy>Administrator</cp:lastModifiedBy>
  <cp:lastPrinted>2020-07-10T06:12:00Z</cp:lastPrinted>
  <dcterms:modified xsi:type="dcterms:W3CDTF">2022-06-30T01:18:39Z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37C44EDB4F824FBCA889D4AE94F9734E</vt:lpwstr>
  </property>
</Properties>
</file>