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51613780"/>
      <w:bookmarkStart w:id="1" w:name="_Toc266870386"/>
      <w:bookmarkStart w:id="2" w:name="_Toc227058483"/>
      <w:bookmarkStart w:id="3" w:name="_Toc259692693"/>
      <w:bookmarkStart w:id="4" w:name="_Toc235437942"/>
      <w:bookmarkStart w:id="5" w:name="_Toc267059519"/>
      <w:bookmarkStart w:id="6" w:name="_Toc212530253"/>
      <w:bookmarkStart w:id="7" w:name="_Toc255974963"/>
      <w:bookmarkStart w:id="8" w:name="_Toc266868924"/>
      <w:bookmarkStart w:id="9" w:name="_Toc266870861"/>
      <w:bookmarkStart w:id="10" w:name="_Toc211937196"/>
      <w:bookmarkStart w:id="11" w:name="_Toc223146565"/>
      <w:bookmarkStart w:id="12" w:name="_Toc266868624"/>
      <w:bookmarkStart w:id="13" w:name="_Toc236021402"/>
      <w:bookmarkStart w:id="14" w:name="_Toc253066567"/>
      <w:bookmarkStart w:id="15" w:name="_Toc267060022"/>
      <w:bookmarkStart w:id="16" w:name="_Toc212526081"/>
      <w:bookmarkStart w:id="17" w:name="_Toc267059899"/>
      <w:bookmarkStart w:id="18" w:name="_Toc251586187"/>
      <w:bookmarkStart w:id="19" w:name="_Toc267059161"/>
      <w:bookmarkStart w:id="20" w:name="_Toc160880487"/>
      <w:bookmarkStart w:id="21" w:name="_Toc169332794"/>
      <w:bookmarkStart w:id="22" w:name="_Toc267059633"/>
      <w:bookmarkStart w:id="23" w:name="_Toc267059786"/>
      <w:bookmarkStart w:id="24" w:name="_Toc177985424"/>
      <w:bookmarkStart w:id="25" w:name="_Toc225669277"/>
      <w:bookmarkStart w:id="26" w:name="_Toc267060407"/>
      <w:bookmarkStart w:id="27" w:name="_Toc217891359"/>
      <w:bookmarkStart w:id="28" w:name="_Toc212456146"/>
      <w:bookmarkStart w:id="29" w:name="_Toc258401210"/>
      <w:bookmarkStart w:id="30" w:name="_Toc267060162"/>
      <w:bookmarkStart w:id="31" w:name="_Toc169332904"/>
      <w:bookmarkStart w:id="32" w:name="_Toc219800200"/>
      <w:bookmarkStart w:id="33" w:name="_Toc259520819"/>
      <w:bookmarkStart w:id="34" w:name="_Toc267059010"/>
      <w:bookmarkStart w:id="35" w:name="_Toc207014580"/>
      <w:bookmarkStart w:id="36" w:name="_Toc249325665"/>
      <w:bookmarkStart w:id="37" w:name="_Toc235438227"/>
      <w:bookmarkStart w:id="38" w:name="_Toc273178686"/>
      <w:bookmarkStart w:id="39" w:name="_Toc259692600"/>
      <w:bookmarkStart w:id="40" w:name="_Toc170798743"/>
      <w:bookmarkStart w:id="41" w:name="_Toc254790852"/>
      <w:bookmarkStart w:id="42" w:name="_Toc212454753"/>
      <w:bookmarkStart w:id="43" w:name="_Toc235438297"/>
      <w:bookmarkStart w:id="44" w:name="_Toc216241307"/>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olor w:val="000000"/>
          <w:sz w:val="24"/>
          <w:szCs w:val="24"/>
        </w:rPr>
      </w:pPr>
      <w:bookmarkStart w:id="45" w:name="_Hlk10840310"/>
      <w:r>
        <w:rPr>
          <w:rFonts w:hint="eastAsia" w:ascii="仿宋" w:hAnsi="仿宋" w:eastAsia="仿宋"/>
          <w:color w:val="000000"/>
          <w:sz w:val="24"/>
          <w:szCs w:val="24"/>
          <w:lang w:eastAsia="zh-CN"/>
        </w:rPr>
        <w:t>郑</w:t>
      </w:r>
      <w:r>
        <w:rPr>
          <w:rFonts w:hint="eastAsia" w:ascii="仿宋" w:hAnsi="仿宋" w:eastAsia="仿宋"/>
          <w:color w:val="000000"/>
          <w:sz w:val="24"/>
          <w:szCs w:val="24"/>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val="en-US" w:eastAsia="zh-CN"/>
        </w:rPr>
        <w:t>2022年体检项目</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ZZCG20220705</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val="en-US" w:eastAsia="zh-CN"/>
        </w:rPr>
        <w:t>2022年体检项目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数量及主要技术要求:详见《公开询价项目介绍》。</w:t>
      </w:r>
    </w:p>
    <w:p>
      <w:pPr>
        <w:widowControl w:val="0"/>
        <w:numPr>
          <w:ilvl w:val="1"/>
          <w:numId w:val="1"/>
        </w:numPr>
        <w:spacing w:after="0" w:line="500" w:lineRule="exact"/>
        <w:rPr>
          <w:rFonts w:ascii="仿宋" w:hAnsi="仿宋" w:eastAsia="仿宋"/>
          <w:sz w:val="24"/>
          <w:szCs w:val="24"/>
          <w:highlight w:val="none"/>
        </w:rPr>
      </w:pPr>
      <w:r>
        <w:rPr>
          <w:rFonts w:hint="eastAsia" w:ascii="仿宋" w:hAnsi="仿宋" w:eastAsia="仿宋"/>
          <w:sz w:val="24"/>
          <w:szCs w:val="24"/>
          <w:highlight w:val="none"/>
        </w:rPr>
        <w:t>参与人资格标准：</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参与人应具有独立法人资格的生产厂商或授权经销商。</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参与人应具有合法有效的营业执照，</w:t>
      </w:r>
      <w:r>
        <w:rPr>
          <w:rFonts w:hint="eastAsia" w:ascii="仿宋" w:hAnsi="仿宋" w:eastAsia="仿宋"/>
          <w:sz w:val="24"/>
          <w:szCs w:val="24"/>
          <w:lang w:val="en-US" w:eastAsia="zh-CN"/>
        </w:rPr>
        <w:t>具有</w:t>
      </w:r>
      <w:r>
        <w:rPr>
          <w:rFonts w:hint="eastAsia" w:ascii="仿宋" w:hAnsi="仿宋" w:eastAsia="仿宋"/>
          <w:sz w:val="24"/>
          <w:szCs w:val="24"/>
        </w:rPr>
        <w:t>提供设备和服务的资格及能力</w:t>
      </w:r>
      <w:r>
        <w:rPr>
          <w:rFonts w:hint="eastAsia" w:ascii="仿宋" w:hAnsi="仿宋" w:eastAsia="仿宋"/>
          <w:sz w:val="24"/>
          <w:szCs w:val="24"/>
          <w:lang w:eastAsia="zh-CN"/>
        </w:rPr>
        <w:t>。</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参与人应持有《医疗机构执业许可证》。</w:t>
      </w:r>
    </w:p>
    <w:p>
      <w:pPr>
        <w:pStyle w:val="55"/>
        <w:numPr>
          <w:ilvl w:val="0"/>
          <w:numId w:val="2"/>
        </w:numPr>
        <w:spacing w:after="0" w:line="500" w:lineRule="exact"/>
        <w:ind w:firstLineChars="0"/>
        <w:rPr>
          <w:rFonts w:ascii="仿宋" w:hAnsi="仿宋" w:eastAsia="仿宋"/>
          <w:color w:val="auto"/>
          <w:sz w:val="24"/>
          <w:szCs w:val="24"/>
        </w:rPr>
      </w:pPr>
      <w:r>
        <w:rPr>
          <w:rFonts w:hint="eastAsia" w:ascii="仿宋" w:hAnsi="仿宋" w:eastAsia="仿宋"/>
          <w:sz w:val="24"/>
          <w:szCs w:val="24"/>
        </w:rPr>
        <w:t>参与人应具有与</w:t>
      </w:r>
      <w:r>
        <w:rPr>
          <w:rFonts w:hint="eastAsia" w:ascii="仿宋" w:hAnsi="仿宋" w:eastAsia="仿宋"/>
          <w:color w:val="auto"/>
          <w:sz w:val="24"/>
          <w:szCs w:val="24"/>
        </w:rPr>
        <w:t>开展体检诊断相适应的医疗卫生技术人员</w:t>
      </w:r>
      <w:r>
        <w:rPr>
          <w:rFonts w:hint="eastAsia" w:ascii="仿宋" w:hAnsi="仿宋" w:eastAsia="仿宋"/>
          <w:color w:val="auto"/>
          <w:sz w:val="24"/>
          <w:szCs w:val="24"/>
          <w:lang w:val="en-US" w:eastAsia="zh-CN"/>
        </w:rPr>
        <w:t>和相适应的仪器、设备。</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7</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 xml:space="preserve">25 </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w:t>
      </w:r>
    </w:p>
    <w:p>
      <w:pPr>
        <w:pStyle w:val="55"/>
        <w:numPr>
          <w:ilvl w:val="1"/>
          <w:numId w:val="1"/>
        </w:numPr>
        <w:spacing w:after="0" w:line="500" w:lineRule="exact"/>
        <w:ind w:firstLineChars="0"/>
        <w:rPr>
          <w:rFonts w:ascii="仿宋" w:hAnsi="仿宋" w:eastAsia="仿宋"/>
          <w:color w:val="auto"/>
          <w:sz w:val="24"/>
          <w:szCs w:val="24"/>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eastAsia="zh-CN"/>
        </w:rPr>
        <w:t>郑州城轨交通中等专业</w:t>
      </w:r>
      <w:bookmarkStart w:id="179" w:name="_GoBack"/>
      <w:bookmarkEnd w:id="179"/>
      <w:r>
        <w:rPr>
          <w:rFonts w:hint="eastAsia" w:ascii="仿宋" w:hAnsi="仿宋" w:eastAsia="仿宋"/>
          <w:color w:val="auto"/>
          <w:sz w:val="24"/>
          <w:szCs w:val="24"/>
          <w:lang w:eastAsia="zh-CN"/>
        </w:rPr>
        <w:t>学校</w:t>
      </w:r>
      <w:r>
        <w:rPr>
          <w:rFonts w:hint="eastAsia" w:ascii="仿宋" w:hAnsi="仿宋" w:eastAsia="仿宋"/>
          <w:color w:val="auto"/>
          <w:sz w:val="24"/>
          <w:szCs w:val="24"/>
          <w:lang w:val="en-US" w:eastAsia="zh-CN"/>
        </w:rPr>
        <w:t>行政楼二楼采购管理科办公室</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720" w:firstLineChars="300"/>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rPr>
        <w:t>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；联系电话：</w:t>
      </w:r>
      <w:r>
        <w:rPr>
          <w:rFonts w:hint="eastAsia" w:ascii="仿宋" w:hAnsi="仿宋" w:eastAsia="仿宋"/>
          <w:color w:val="auto"/>
          <w:sz w:val="24"/>
          <w:szCs w:val="24"/>
          <w:lang w:val="en-US" w:eastAsia="zh-CN"/>
        </w:rPr>
        <w:t>18537172600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val="en-US" w:eastAsia="zh-CN"/>
        </w:rPr>
        <w:t>敖德康</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15979137931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rPr>
        <w:t xml:space="preserve">1. </w:t>
      </w:r>
      <w:r>
        <w:rPr>
          <w:rFonts w:hint="eastAsia" w:ascii="仿宋" w:hAnsi="仿宋" w:eastAsia="仿宋"/>
          <w:color w:val="000000"/>
          <w:sz w:val="24"/>
          <w:szCs w:val="24"/>
          <w:lang w:val="en-US" w:eastAsia="zh-CN"/>
        </w:rPr>
        <w:t>参与人应保证15日内出具体检报告，每人一份电子档案，一份纸质档案。体检不合格人员应另外标注整理。参与人应保证体检能力可达到2000人/天。</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lang w:val="en-US" w:eastAsia="zh-CN"/>
        </w:rPr>
        <w:t>2</w:t>
      </w:r>
      <w:r>
        <w:rPr>
          <w:rFonts w:hint="eastAsia" w:ascii="仿宋" w:hAnsi="仿宋" w:eastAsia="仿宋"/>
          <w:color w:val="000000"/>
          <w:sz w:val="24"/>
          <w:szCs w:val="24"/>
        </w:rPr>
        <w:t xml:space="preserve">. </w:t>
      </w:r>
      <w:r>
        <w:rPr>
          <w:rFonts w:hint="eastAsia" w:ascii="仿宋" w:hAnsi="仿宋" w:eastAsia="仿宋"/>
          <w:color w:val="000000"/>
          <w:sz w:val="24"/>
          <w:szCs w:val="24"/>
          <w:lang w:val="en-US" w:eastAsia="zh-CN"/>
        </w:rPr>
        <w:t>参与人应保证检查数据及时汇总，不得外泄，应保护被体检人隐私，未经对方书面同意，不得以任何形式泄露给第三方。</w:t>
      </w:r>
    </w:p>
    <w:p>
      <w:pPr>
        <w:spacing w:after="0" w:line="500" w:lineRule="exact"/>
        <w:ind w:firstLine="364" w:firstLineChars="152"/>
        <w:jc w:val="left"/>
        <w:rPr>
          <w:rFonts w:hint="eastAsia" w:ascii="仿宋" w:hAnsi="仿宋" w:eastAsia="仿宋"/>
          <w:color w:val="000000"/>
          <w:sz w:val="24"/>
          <w:szCs w:val="24"/>
          <w:lang w:eastAsia="zh-CN"/>
        </w:rPr>
      </w:pPr>
      <w:r>
        <w:rPr>
          <w:rFonts w:hint="eastAsia" w:ascii="仿宋" w:hAnsi="仿宋" w:eastAsia="仿宋"/>
          <w:color w:val="000000"/>
          <w:sz w:val="24"/>
          <w:szCs w:val="24"/>
          <w:lang w:val="en-US" w:eastAsia="zh-CN"/>
        </w:rPr>
        <w:t>3.</w:t>
      </w:r>
      <w:r>
        <w:rPr>
          <w:rFonts w:hint="eastAsia" w:ascii="仿宋" w:hAnsi="仿宋" w:eastAsia="仿宋"/>
          <w:color w:val="000000"/>
          <w:sz w:val="24"/>
          <w:szCs w:val="24"/>
          <w:lang w:eastAsia="zh-CN"/>
        </w:rPr>
        <w:t>体检</w:t>
      </w:r>
      <w:r>
        <w:rPr>
          <w:rFonts w:hint="eastAsia" w:ascii="仿宋" w:hAnsi="仿宋" w:eastAsia="仿宋"/>
          <w:color w:val="000000"/>
          <w:sz w:val="24"/>
          <w:szCs w:val="24"/>
        </w:rPr>
        <w:t>地点</w:t>
      </w:r>
      <w:r>
        <w:rPr>
          <w:rFonts w:hint="eastAsia" w:ascii="仿宋" w:hAnsi="仿宋" w:eastAsia="仿宋"/>
          <w:color w:val="000000"/>
          <w:sz w:val="24"/>
          <w:szCs w:val="24"/>
          <w:lang w:eastAsia="zh-CN"/>
        </w:rPr>
        <w:t>：郑州城轨交通中等专业学校</w:t>
      </w:r>
    </w:p>
    <w:p>
      <w:pPr>
        <w:spacing w:after="0" w:line="500" w:lineRule="exact"/>
        <w:ind w:firstLine="364" w:firstLineChars="152"/>
        <w:jc w:val="left"/>
        <w:rPr>
          <w:rFonts w:hint="eastAsia" w:ascii="仿宋" w:hAnsi="仿宋" w:eastAsia="仿宋"/>
          <w:color w:val="000000"/>
          <w:sz w:val="24"/>
          <w:szCs w:val="24"/>
          <w:lang w:val="en-US" w:eastAsia="zh-CN"/>
        </w:rPr>
      </w:pPr>
      <w:r>
        <w:rPr>
          <w:rFonts w:hint="eastAsia" w:ascii="仿宋" w:hAnsi="仿宋" w:eastAsia="仿宋"/>
          <w:color w:val="000000"/>
          <w:sz w:val="24"/>
          <w:szCs w:val="24"/>
        </w:rPr>
        <w:t>地址</w:t>
      </w:r>
      <w:r>
        <w:rPr>
          <w:rFonts w:hint="eastAsia" w:ascii="仿宋" w:hAnsi="仿宋" w:eastAsia="仿宋"/>
          <w:color w:val="000000"/>
          <w:sz w:val="24"/>
          <w:szCs w:val="24"/>
          <w:lang w:eastAsia="zh-CN"/>
        </w:rPr>
        <w:t>：河南省郑州市新郑市新村镇</w:t>
      </w:r>
      <w:r>
        <w:rPr>
          <w:rFonts w:hint="eastAsia" w:ascii="仿宋" w:hAnsi="仿宋" w:eastAsia="仿宋"/>
          <w:color w:val="000000"/>
          <w:sz w:val="24"/>
          <w:szCs w:val="24"/>
          <w:lang w:val="en-US" w:eastAsia="zh-CN"/>
        </w:rPr>
        <w:t>107对面</w:t>
      </w:r>
      <w:r>
        <w:rPr>
          <w:rFonts w:hint="eastAsia" w:ascii="仿宋" w:hAnsi="仿宋" w:eastAsia="仿宋"/>
          <w:color w:val="000000"/>
          <w:sz w:val="24"/>
          <w:szCs w:val="24"/>
          <w:lang w:eastAsia="zh-CN"/>
        </w:rPr>
        <w:t>郑州城轨交通中等专业学校</w:t>
      </w:r>
      <w:r>
        <w:rPr>
          <w:rFonts w:hint="eastAsia" w:ascii="仿宋" w:hAnsi="仿宋" w:eastAsia="仿宋"/>
          <w:color w:val="000000"/>
          <w:sz w:val="24"/>
          <w:szCs w:val="24"/>
          <w:lang w:val="en-US" w:eastAsia="zh-CN"/>
        </w:rPr>
        <w:t xml:space="preserve">         </w:t>
      </w:r>
    </w:p>
    <w:p>
      <w:pPr>
        <w:spacing w:after="0" w:line="500" w:lineRule="exact"/>
        <w:ind w:firstLine="364" w:firstLineChars="152"/>
        <w:jc w:val="left"/>
        <w:rPr>
          <w:rFonts w:hint="eastAsia" w:ascii="仿宋" w:hAnsi="仿宋" w:eastAsia="仿宋"/>
          <w:color w:val="000000"/>
          <w:sz w:val="24"/>
          <w:szCs w:val="24"/>
          <w:lang w:eastAsia="zh-CN"/>
        </w:rPr>
      </w:pPr>
      <w:r>
        <w:rPr>
          <w:rFonts w:hint="eastAsia" w:ascii="仿宋" w:hAnsi="仿宋" w:eastAsia="仿宋"/>
          <w:color w:val="000000"/>
          <w:sz w:val="24"/>
          <w:szCs w:val="24"/>
        </w:rPr>
        <w:t>联系人员</w:t>
      </w:r>
      <w:r>
        <w:rPr>
          <w:rFonts w:hint="eastAsia" w:ascii="仿宋" w:hAnsi="仿宋" w:eastAsia="仿宋"/>
          <w:color w:val="000000"/>
          <w:sz w:val="24"/>
          <w:szCs w:val="24"/>
          <w:lang w:eastAsia="zh-CN"/>
        </w:rPr>
        <w:t>：张永强</w:t>
      </w:r>
      <w:r>
        <w:rPr>
          <w:rFonts w:hint="eastAsia" w:ascii="仿宋" w:hAnsi="仿宋" w:eastAsia="仿宋"/>
          <w:color w:val="000000"/>
          <w:sz w:val="24"/>
          <w:szCs w:val="24"/>
          <w:lang w:val="en-US" w:eastAsia="zh-CN"/>
        </w:rPr>
        <w:t xml:space="preserve">        </w:t>
      </w:r>
      <w:r>
        <w:rPr>
          <w:rFonts w:hint="eastAsia" w:ascii="仿宋" w:hAnsi="仿宋" w:eastAsia="仿宋"/>
          <w:color w:val="000000"/>
          <w:sz w:val="24"/>
          <w:szCs w:val="24"/>
        </w:rPr>
        <w:t>联系电话</w:t>
      </w: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18537172600</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四、确定成交参与人</w:t>
      </w:r>
      <w:r>
        <w:rPr>
          <w:rFonts w:hint="eastAsia" w:ascii="仿宋" w:hAnsi="仿宋" w:eastAsia="仿宋"/>
          <w:color w:val="auto"/>
          <w:sz w:val="24"/>
          <w:szCs w:val="24"/>
        </w:rPr>
        <w:t>标准及原则：</w:t>
      </w:r>
    </w:p>
    <w:p>
      <w:pPr>
        <w:pStyle w:val="55"/>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5"/>
        <w:numPr>
          <w:ilvl w:val="0"/>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最低报价不作为成交的保证。</w:t>
      </w: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0" w:leftChars="0" w:firstLine="0" w:firstLineChars="0"/>
        <w:jc w:val="left"/>
        <w:rPr>
          <w:rFonts w:ascii="仿宋" w:hAnsi="仿宋" w:eastAsia="仿宋"/>
          <w:sz w:val="24"/>
          <w:szCs w:val="24"/>
        </w:rPr>
      </w:pPr>
    </w:p>
    <w:p>
      <w:pPr>
        <w:pStyle w:val="55"/>
        <w:spacing w:after="0" w:line="500" w:lineRule="exact"/>
        <w:ind w:left="851" w:firstLine="0" w:firstLineChars="0"/>
        <w:jc w:val="left"/>
        <w:rPr>
          <w:rFonts w:hint="eastAsia" w:ascii="仿宋" w:hAnsi="仿宋" w:eastAsia="仿宋"/>
          <w:b/>
          <w:sz w:val="44"/>
          <w:szCs w:val="44"/>
        </w:rPr>
      </w:pPr>
    </w:p>
    <w:p>
      <w:pPr>
        <w:pStyle w:val="55"/>
        <w:spacing w:after="0" w:line="500" w:lineRule="exact"/>
        <w:ind w:left="851" w:firstLine="0" w:firstLineChars="0"/>
        <w:jc w:val="center"/>
        <w:rPr>
          <w:rFonts w:ascii="仿宋" w:hAnsi="仿宋" w:eastAsia="仿宋"/>
          <w:sz w:val="24"/>
          <w:szCs w:val="24"/>
        </w:rPr>
      </w:pPr>
      <w:r>
        <w:rPr>
          <w:rFonts w:hint="eastAsia" w:ascii="仿宋" w:hAnsi="仿宋" w:eastAsia="仿宋"/>
          <w:b/>
          <w:sz w:val="44"/>
          <w:szCs w:val="44"/>
        </w:rPr>
        <w:t>公开询价项目介绍</w:t>
      </w:r>
      <w:bookmarkEnd w:id="45"/>
    </w:p>
    <w:tbl>
      <w:tblPr>
        <w:tblStyle w:val="24"/>
        <w:tblW w:w="9655" w:type="dxa"/>
        <w:tblInd w:w="0" w:type="dxa"/>
        <w:shd w:val="clear" w:color="auto" w:fill="auto"/>
        <w:tblLayout w:type="fixed"/>
        <w:tblCellMar>
          <w:top w:w="0" w:type="dxa"/>
          <w:left w:w="0" w:type="dxa"/>
          <w:bottom w:w="0" w:type="dxa"/>
          <w:right w:w="0" w:type="dxa"/>
        </w:tblCellMar>
      </w:tblPr>
      <w:tblGrid>
        <w:gridCol w:w="318"/>
        <w:gridCol w:w="1406"/>
        <w:gridCol w:w="2543"/>
        <w:gridCol w:w="4017"/>
        <w:gridCol w:w="1371"/>
      </w:tblGrid>
      <w:tr>
        <w:tblPrEx>
          <w:shd w:val="clear" w:color="auto" w:fill="auto"/>
          <w:tblCellMar>
            <w:top w:w="0" w:type="dxa"/>
            <w:left w:w="0" w:type="dxa"/>
            <w:bottom w:w="0" w:type="dxa"/>
            <w:right w:w="0" w:type="dxa"/>
          </w:tblCellMar>
        </w:tblPrEx>
        <w:trPr>
          <w:trHeight w:val="834" w:hRule="atLeast"/>
        </w:trPr>
        <w:tc>
          <w:tcPr>
            <w:tcW w:w="965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城轨学校体检套餐</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项目</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指标意义</w:t>
            </w:r>
          </w:p>
        </w:tc>
        <w:tc>
          <w:tcPr>
            <w:tcW w:w="137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1"/>
                <w:szCs w:val="21"/>
                <w:u w:val="none"/>
              </w:rPr>
            </w:pPr>
            <w:r>
              <w:rPr>
                <w:rFonts w:hint="eastAsia" w:ascii="宋体" w:hAnsi="宋体" w:eastAsia="宋体" w:cs="宋体"/>
                <w:b/>
                <w:i w:val="0"/>
                <w:color w:val="333333"/>
                <w:kern w:val="0"/>
                <w:sz w:val="21"/>
                <w:szCs w:val="21"/>
                <w:u w:val="none"/>
                <w:lang w:val="en-US" w:eastAsia="zh-CN" w:bidi="ar"/>
              </w:rPr>
              <w:t>含税单价</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临床检查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6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基础检查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身高、体重、体重指数、收缩压、舒张压</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通过仪器测量人体基本健康指标。例如：血压是否正常，有 无体重偏低、超重或肥胖。</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9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内科</w:t>
            </w:r>
          </w:p>
        </w:tc>
        <w:tc>
          <w:tcPr>
            <w:tcW w:w="6560"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心、肝、脾、肺、肾视触叩听等物理检查,初步排除内科常见疾病，如心脏杂音、肺部炎症、腹部肿块、肝区不适、胆区不适等病变</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化验室检查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300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血常规</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白细胞计数、红细胞计数、血红蛋白、红细胞压积、平均红 细胞体积、平均红细胞血红蛋白含量、平均红细胞血红蛋白浓度、红细胞分布宽度-变异系数、血小板计数、平均血小板体积、血小板分布宽度、淋巴细胞百分比、中间细胞百分比、中性粒细胞百分比、 淋巴细胞绝对值、中间细胞绝对值、中性粒细胞绝对值、红细胞分布宽度-标准差、血小板压积</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通过血常规检查发现血液方面的问题，评价骨髓功能，有助 于临床急慢性感染，病毒性疾病的判断；有助于了解有无贫血及贫血分类；有助于出血性疾病的诊断等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1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肝功五项</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谷草转氨酶、谷丙转氨酶、总胆红素</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000000"/>
                <w:sz w:val="21"/>
                <w:szCs w:val="21"/>
                <w:u w:val="none"/>
              </w:rPr>
            </w:pPr>
            <w:r>
              <w:rPr>
                <w:rFonts w:hint="default" w:ascii="Verdana" w:hAnsi="Verdana" w:eastAsia="宋体" w:cs="Verdana"/>
                <w:i w:val="0"/>
                <w:color w:val="000000"/>
                <w:kern w:val="0"/>
                <w:sz w:val="21"/>
                <w:szCs w:val="21"/>
                <w:u w:val="none"/>
                <w:lang w:val="en-US" w:eastAsia="zh-CN" w:bidi="ar"/>
              </w:rPr>
              <w:t>了解肝细胞有无损伤及其损害的严重程度、协助诊断肝胆疾病如肝炎、肝硬化、胆道阻塞、低蛋白血症等。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000000"/>
                <w:sz w:val="21"/>
                <w:szCs w:val="21"/>
                <w:u w:val="none"/>
              </w:rPr>
            </w:pPr>
            <w:r>
              <w:rPr>
                <w:rFonts w:hint="default" w:ascii="Verdana" w:hAnsi="Verdana" w:eastAsia="宋体" w:cs="Verdana"/>
                <w:b/>
                <w:i w:val="0"/>
                <w:color w:val="000000"/>
                <w:kern w:val="0"/>
                <w:sz w:val="21"/>
                <w:szCs w:val="21"/>
                <w:u w:val="none"/>
                <w:lang w:val="en-US" w:eastAsia="zh-CN" w:bidi="ar"/>
              </w:rPr>
              <w:t>医技检查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3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eastAsia" w:ascii="宋体" w:hAnsi="宋体" w:eastAsia="宋体" w:cs="宋体"/>
                <w:i w:val="0"/>
                <w:color w:val="000000"/>
                <w:kern w:val="0"/>
                <w:sz w:val="21"/>
                <w:szCs w:val="21"/>
                <w:u w:val="none"/>
                <w:lang w:val="en-US" w:eastAsia="zh-CN" w:bidi="ar"/>
              </w:rPr>
              <w:t>X光检查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胸部透视</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检查心脏、两肺、纵隔、膈、胸膜，判断有无炎症、肿瘤等 。</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BE4D5"/>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其它</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r>
              <w:rPr>
                <w:rFonts w:hint="eastAsia" w:ascii="Verdana" w:hAnsi="Verdana" w:eastAsia="宋体" w:cs="Verdana"/>
                <w:i w:val="0"/>
                <w:color w:val="333333"/>
                <w:sz w:val="21"/>
                <w:szCs w:val="21"/>
                <w:u w:val="none"/>
                <w:lang w:val="en-US" w:eastAsia="zh-CN"/>
              </w:rPr>
              <w:t>双眼视力常规检查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12</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眼科报告</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视力检测分析报告</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5"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采血材料</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一次性医用材料</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防止交叉感染等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报告汇总</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医生评估及</w:t>
            </w:r>
            <w:r>
              <w:rPr>
                <w:rFonts w:hint="eastAsia" w:ascii="宋体" w:hAnsi="宋体" w:eastAsia="宋体" w:cs="宋体"/>
                <w:i w:val="0"/>
                <w:color w:val="333333"/>
                <w:sz w:val="21"/>
                <w:szCs w:val="21"/>
                <w:u w:val="none"/>
                <w:lang w:val="en-US" w:eastAsia="zh-CN"/>
              </w:rPr>
              <w:t>综合体检报告</w:t>
            </w: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给出体检结论及建议</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2"/>
                <w:szCs w:val="22"/>
                <w:u w:val="none"/>
                <w:lang w:val="en-US" w:eastAsia="zh-CN" w:bidi="ar-SA"/>
              </w:rPr>
            </w:pPr>
            <w:r>
              <w:rPr>
                <w:rFonts w:hint="eastAsia" w:ascii="宋体" w:hAnsi="宋体" w:eastAsia="宋体" w:cs="宋体"/>
                <w:i w:val="0"/>
                <w:color w:val="333333"/>
                <w:kern w:val="0"/>
                <w:sz w:val="21"/>
                <w:szCs w:val="21"/>
                <w:u w:val="none"/>
                <w:lang w:val="en-US" w:eastAsia="zh-CN" w:bidi="ar"/>
              </w:rPr>
              <w:t>总价</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FF0000"/>
                <w:sz w:val="24"/>
                <w:szCs w:val="24"/>
                <w:u w:val="none"/>
                <w:lang w:val="en-US" w:eastAsia="zh-CN" w:bidi="ar-SA"/>
              </w:rPr>
            </w:pPr>
            <w:r>
              <w:rPr>
                <w:rFonts w:hint="eastAsia" w:ascii="宋体" w:hAnsi="宋体" w:eastAsia="宋体" w:cs="宋体"/>
                <w:i w:val="0"/>
                <w:color w:val="333333"/>
                <w:kern w:val="0"/>
                <w:sz w:val="21"/>
                <w:szCs w:val="21"/>
                <w:u w:val="none"/>
                <w:lang w:val="en-US" w:eastAsia="zh-CN" w:bidi="ar"/>
              </w:rPr>
              <w:t>折后</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bl>
    <w:p>
      <w:pPr>
        <w:spacing w:line="400" w:lineRule="exact"/>
        <w:rPr>
          <w:rFonts w:hint="eastAsia" w:ascii="仿宋" w:hAnsi="仿宋" w:eastAsia="仿宋"/>
          <w:sz w:val="24"/>
          <w:szCs w:val="2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5"/>
        </w:numPr>
        <w:spacing w:after="0" w:line="440" w:lineRule="exact"/>
        <w:rPr>
          <w:rFonts w:ascii="仿宋" w:hAnsi="仿宋" w:eastAsia="仿宋"/>
          <w:bCs/>
          <w:sz w:val="24"/>
          <w:szCs w:val="24"/>
        </w:rPr>
      </w:pPr>
      <w:r>
        <w:rPr>
          <w:rFonts w:hint="eastAsia" w:ascii="仿宋" w:hAnsi="仿宋" w:eastAsia="仿宋"/>
          <w:bCs/>
          <w:sz w:val="24"/>
          <w:szCs w:val="24"/>
        </w:rPr>
        <w:t>参与人</w:t>
      </w:r>
      <w:r>
        <w:rPr>
          <w:rFonts w:hint="eastAsia" w:ascii="仿宋" w:hAnsi="仿宋" w:eastAsia="仿宋"/>
          <w:bCs/>
          <w:sz w:val="24"/>
          <w:szCs w:val="24"/>
          <w:lang w:val="en-US" w:eastAsia="zh-CN"/>
        </w:rPr>
        <w:t>报价为含税价格，不收取除体检项目检查外的其他任何费用</w:t>
      </w:r>
      <w:r>
        <w:rPr>
          <w:rFonts w:hint="eastAsia" w:ascii="仿宋" w:hAnsi="仿宋" w:eastAsia="仿宋"/>
          <w:bCs/>
          <w:sz w:val="24"/>
          <w:szCs w:val="24"/>
        </w:rPr>
        <w:t>。</w:t>
      </w:r>
    </w:p>
    <w:p>
      <w:pPr>
        <w:numPr>
          <w:ilvl w:val="0"/>
          <w:numId w:val="5"/>
        </w:numPr>
        <w:spacing w:after="0" w:line="440" w:lineRule="exact"/>
        <w:rPr>
          <w:rFonts w:ascii="仿宋" w:hAnsi="仿宋" w:eastAsia="仿宋"/>
          <w:bCs/>
          <w:sz w:val="24"/>
          <w:szCs w:val="24"/>
        </w:rPr>
      </w:pPr>
      <w:r>
        <w:rPr>
          <w:rFonts w:hint="eastAsia" w:ascii="仿宋" w:hAnsi="仿宋" w:eastAsia="仿宋" w:cs="仿宋"/>
          <w:b w:val="0"/>
          <w:bCs w:val="0"/>
          <w:color w:val="auto"/>
          <w:sz w:val="24"/>
          <w:szCs w:val="32"/>
          <w:lang w:val="en-US" w:eastAsia="zh-CN"/>
        </w:rPr>
        <w:t>此报价为一次性报价，</w:t>
      </w: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1"/>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2"/>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44"/>
          <w:szCs w:val="44"/>
        </w:rPr>
      </w:pPr>
      <w:r>
        <w:rPr>
          <w:rFonts w:hint="eastAsia" w:ascii="仿宋" w:hAnsi="仿宋" w:eastAsia="仿宋" w:cs="仿宋"/>
          <w:b/>
          <w:color w:val="auto"/>
          <w:sz w:val="44"/>
          <w:szCs w:val="44"/>
          <w:lang w:val="en-US" w:eastAsia="zh-CN"/>
        </w:rPr>
        <w:t>关于2022年</w:t>
      </w:r>
      <w:r>
        <w:rPr>
          <w:rFonts w:hint="eastAsia" w:ascii="仿宋" w:hAnsi="仿宋" w:eastAsia="仿宋" w:cs="仿宋"/>
          <w:b/>
          <w:color w:val="auto"/>
          <w:sz w:val="44"/>
          <w:szCs w:val="44"/>
          <w:lang w:eastAsia="zh-CN"/>
        </w:rPr>
        <w:t>体检</w:t>
      </w:r>
      <w:r>
        <w:rPr>
          <w:rFonts w:hint="eastAsia" w:ascii="仿宋" w:hAnsi="仿宋" w:eastAsia="仿宋" w:cs="仿宋"/>
          <w:b/>
          <w:color w:val="auto"/>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67060453"/>
      <w:bookmarkStart w:id="48" w:name="_Toc273178698"/>
      <w:bookmarkStart w:id="49" w:name="_Toc267060321"/>
      <w:bookmarkStart w:id="50" w:name="_Toc267060208"/>
      <w:bookmarkStart w:id="51" w:name="_Toc267059919"/>
      <w:bookmarkStart w:id="52" w:name="_Toc267060068"/>
      <w:bookmarkStart w:id="53" w:name="_Toc160880160"/>
      <w:bookmarkStart w:id="54" w:name="_Toc160880529"/>
      <w:bookmarkStart w:id="55" w:name="_Toc169332838"/>
      <w:bookmarkStart w:id="56" w:name="_Toc170798793"/>
      <w:bookmarkStart w:id="57" w:name="_Toc169332949"/>
      <w:bookmarkStart w:id="58" w:name="_Toc203355733"/>
      <w:bookmarkStart w:id="59" w:name="_Toc177985469"/>
      <w:bookmarkStart w:id="60" w:name="_Toc180302913"/>
      <w:bookmarkStart w:id="61" w:name="_Toc181436461"/>
      <w:bookmarkStart w:id="62" w:name="_Toc181436565"/>
      <w:bookmarkStart w:id="63" w:name="_Toc182372782"/>
      <w:bookmarkStart w:id="64" w:name="_Toc182805217"/>
      <w:bookmarkStart w:id="65" w:name="_Toc191783222"/>
      <w:bookmarkStart w:id="66" w:name="_Toc191802690"/>
      <w:bookmarkStart w:id="67" w:name="_Toc191789329"/>
      <w:bookmarkStart w:id="68" w:name="_Toc191803626"/>
      <w:bookmarkStart w:id="69" w:name="_Toc192663686"/>
      <w:bookmarkStart w:id="70" w:name="_Toc192663835"/>
      <w:bookmarkStart w:id="71" w:name="_Toc192664153"/>
      <w:bookmarkStart w:id="72" w:name="_Toc192996338"/>
      <w:bookmarkStart w:id="73" w:name="_Toc192996446"/>
      <w:bookmarkStart w:id="74" w:name="_Toc193160448"/>
      <w:bookmarkStart w:id="75" w:name="_Toc193165734"/>
      <w:bookmarkStart w:id="76" w:name="_Toc211917116"/>
      <w:bookmarkStart w:id="77" w:name="_Toc213208766"/>
      <w:bookmarkStart w:id="78" w:name="_Toc213755939"/>
      <w:bookmarkStart w:id="79" w:name="_Toc213755995"/>
      <w:bookmarkStart w:id="80" w:name="_Toc213756051"/>
      <w:bookmarkStart w:id="81" w:name="_Toc217891402"/>
      <w:bookmarkStart w:id="82" w:name="_Toc219800243"/>
      <w:bookmarkStart w:id="83" w:name="_Toc223146608"/>
      <w:bookmarkStart w:id="84" w:name="_Toc225669322"/>
      <w:bookmarkStart w:id="85" w:name="_Toc227058530"/>
      <w:bookmarkStart w:id="86" w:name="_Toc230071147"/>
      <w:bookmarkStart w:id="87" w:name="_Toc235437991"/>
      <w:bookmarkStart w:id="88" w:name="_Toc232302115"/>
      <w:bookmarkStart w:id="89" w:name="_Toc235438274"/>
      <w:bookmarkStart w:id="90" w:name="_Toc235438344"/>
      <w:bookmarkStart w:id="91" w:name="_Toc236021449"/>
      <w:bookmarkStart w:id="92" w:name="_Toc249325711"/>
      <w:bookmarkStart w:id="93" w:name="_Toc251586231"/>
      <w:bookmarkStart w:id="94" w:name="_Toc251613829"/>
      <w:bookmarkStart w:id="95" w:name="_Toc213755858"/>
      <w:bookmarkStart w:id="96" w:name="_Toc254790899"/>
      <w:bookmarkStart w:id="97" w:name="_Toc253066614"/>
      <w:bookmarkStart w:id="98" w:name="_Toc255975007"/>
      <w:bookmarkStart w:id="99" w:name="_Toc258401256"/>
      <w:bookmarkStart w:id="100" w:name="_Toc259520865"/>
      <w:bookmarkStart w:id="101" w:name="_Toc259692740"/>
      <w:bookmarkStart w:id="102" w:name="_Toc259692647"/>
      <w:bookmarkStart w:id="103" w:name="_Toc266868670"/>
      <w:bookmarkStart w:id="104" w:name="_Toc266868937"/>
      <w:bookmarkStart w:id="105" w:name="_Toc266870432"/>
      <w:bookmarkStart w:id="106" w:name="_Toc266870833"/>
      <w:bookmarkStart w:id="107" w:name="_Toc266870907"/>
      <w:bookmarkStart w:id="108" w:name="_Toc267059030"/>
      <w:bookmarkStart w:id="109" w:name="_Toc267059181"/>
      <w:bookmarkStart w:id="110" w:name="_Toc267059539"/>
      <w:bookmarkStart w:id="111" w:name="_Toc267059653"/>
      <w:bookmarkStart w:id="112" w:name="_Toc267059806"/>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2.同意参加本项目的报价，并已详细审查全部公开询价文件，包括修改文件（如有的话）和有关附件，</w:t>
      </w:r>
      <w:r>
        <w:rPr>
          <w:rFonts w:hint="eastAsia" w:ascii="仿宋" w:hAnsi="仿宋" w:eastAsia="仿宋"/>
          <w:color w:val="auto"/>
          <w:sz w:val="24"/>
          <w:szCs w:val="24"/>
        </w:rPr>
        <w:t>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7"/>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9655" w:type="dxa"/>
        <w:tblInd w:w="0" w:type="dxa"/>
        <w:shd w:val="clear" w:color="auto" w:fill="auto"/>
        <w:tblLayout w:type="fixed"/>
        <w:tblCellMar>
          <w:top w:w="0" w:type="dxa"/>
          <w:left w:w="0" w:type="dxa"/>
          <w:bottom w:w="0" w:type="dxa"/>
          <w:right w:w="0" w:type="dxa"/>
        </w:tblCellMar>
      </w:tblPr>
      <w:tblGrid>
        <w:gridCol w:w="318"/>
        <w:gridCol w:w="1406"/>
        <w:gridCol w:w="2543"/>
        <w:gridCol w:w="4017"/>
        <w:gridCol w:w="1371"/>
      </w:tblGrid>
      <w:tr>
        <w:tblPrEx>
          <w:shd w:val="clear" w:color="auto" w:fill="auto"/>
          <w:tblCellMar>
            <w:top w:w="0" w:type="dxa"/>
            <w:left w:w="0" w:type="dxa"/>
            <w:bottom w:w="0" w:type="dxa"/>
            <w:right w:w="0" w:type="dxa"/>
          </w:tblCellMar>
        </w:tblPrEx>
        <w:trPr>
          <w:trHeight w:val="834" w:hRule="atLeast"/>
        </w:trPr>
        <w:tc>
          <w:tcPr>
            <w:tcW w:w="965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城轨学校体检套餐</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项目</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333333"/>
                <w:sz w:val="21"/>
                <w:szCs w:val="21"/>
                <w:u w:val="none"/>
              </w:rPr>
            </w:pPr>
            <w:r>
              <w:rPr>
                <w:rFonts w:hint="default" w:ascii="Verdana" w:hAnsi="Verdana" w:eastAsia="宋体" w:cs="Verdana"/>
                <w:b/>
                <w:i w:val="0"/>
                <w:color w:val="333333"/>
                <w:kern w:val="0"/>
                <w:sz w:val="21"/>
                <w:szCs w:val="21"/>
                <w:u w:val="none"/>
                <w:lang w:val="en-US" w:eastAsia="zh-CN" w:bidi="ar"/>
              </w:rPr>
              <w:t>指标意义</w:t>
            </w:r>
          </w:p>
        </w:tc>
        <w:tc>
          <w:tcPr>
            <w:tcW w:w="1371"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1"/>
                <w:szCs w:val="21"/>
                <w:u w:val="none"/>
              </w:rPr>
            </w:pPr>
            <w:r>
              <w:rPr>
                <w:rFonts w:hint="eastAsia" w:ascii="宋体" w:hAnsi="宋体" w:eastAsia="宋体" w:cs="宋体"/>
                <w:b/>
                <w:i w:val="0"/>
                <w:color w:val="333333"/>
                <w:kern w:val="0"/>
                <w:sz w:val="21"/>
                <w:szCs w:val="21"/>
                <w:u w:val="none"/>
                <w:lang w:val="en-US" w:eastAsia="zh-CN" w:bidi="ar"/>
              </w:rPr>
              <w:t>含税单价</w:t>
            </w: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临床检查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6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基础检查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身高、体重、体重指数、收缩压、舒张压</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通过仪器测量人体基本健康指标。例如：血压是否正常，有 无体重偏低、超重或肥胖。</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9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内科</w:t>
            </w:r>
          </w:p>
        </w:tc>
        <w:tc>
          <w:tcPr>
            <w:tcW w:w="6560"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心、肝、脾、肺、肾视触叩听等物理检查,初步排除内科常见疾病，如心脏杂音、肺部炎症、腹部肿块、肝区不适、胆区不适等病变</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5</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化验室检查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300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血常规</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白细胞计数、红细胞计数、血红蛋白、红细胞压积、平均红 细胞体积、平均红细胞血红蛋白含量、平均红细胞血红蛋白浓度、红细胞分布宽度-变异系数、血小板计数、平均血小板体积、血小板分布宽度、淋巴细胞百分比、中间细胞百分比、中性粒细胞百分比、 淋巴细胞绝对值、中间细胞绝对值、中性粒细胞绝对值、红细胞分布宽度-标准差、血小板压积</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通过血常规检查发现血液方面的问题，评价骨髓功能，有助 于临床急慢性感染，病毒性疾病的判断；有助于了解有无贫血及贫血分类；有助于出血性疾病的诊断等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1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肝功五项</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谷草转氨酶、谷丙转氨酶、总胆红素</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000000"/>
                <w:sz w:val="21"/>
                <w:szCs w:val="21"/>
                <w:u w:val="none"/>
              </w:rPr>
            </w:pPr>
            <w:r>
              <w:rPr>
                <w:rFonts w:hint="default" w:ascii="Verdana" w:hAnsi="Verdana" w:eastAsia="宋体" w:cs="Verdana"/>
                <w:i w:val="0"/>
                <w:color w:val="000000"/>
                <w:kern w:val="0"/>
                <w:sz w:val="21"/>
                <w:szCs w:val="21"/>
                <w:u w:val="none"/>
                <w:lang w:val="en-US" w:eastAsia="zh-CN" w:bidi="ar"/>
              </w:rPr>
              <w:t>了解肝细胞有无损伤及其损害的严重程度、协助诊断肝胆疾病如肝炎、肝硬化、胆道阻塞、低蛋白血症等。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8</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FE598"/>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b/>
                <w:i w:val="0"/>
                <w:color w:val="000000"/>
                <w:sz w:val="21"/>
                <w:szCs w:val="21"/>
                <w:u w:val="none"/>
              </w:rPr>
            </w:pPr>
            <w:r>
              <w:rPr>
                <w:rFonts w:hint="default" w:ascii="Verdana" w:hAnsi="Verdana" w:eastAsia="宋体" w:cs="Verdana"/>
                <w:b/>
                <w:i w:val="0"/>
                <w:color w:val="000000"/>
                <w:kern w:val="0"/>
                <w:sz w:val="21"/>
                <w:szCs w:val="21"/>
                <w:u w:val="none"/>
                <w:lang w:val="en-US" w:eastAsia="zh-CN" w:bidi="ar"/>
              </w:rPr>
              <w:t>医技检查</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13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Style w:val="61"/>
                <w:rFonts w:eastAsia="宋体"/>
                <w:lang w:val="en-US" w:eastAsia="zh-CN" w:bidi="ar"/>
              </w:rPr>
              <w:t>X</w:t>
            </w:r>
            <w:r>
              <w:rPr>
                <w:rStyle w:val="62"/>
                <w:rFonts w:ascii="宋体" w:hAnsi="宋体" w:eastAsia="宋体" w:cs="宋体"/>
                <w:sz w:val="24"/>
                <w:szCs w:val="24"/>
                <w:lang w:val="en-US" w:eastAsia="zh-CN" w:bidi="ar"/>
              </w:rPr>
              <w:t>光检查</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胸部透视</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r>
              <w:rPr>
                <w:rFonts w:hint="default" w:ascii="Verdana" w:hAnsi="Verdana" w:eastAsia="宋体" w:cs="Verdana"/>
                <w:i w:val="0"/>
                <w:color w:val="333333"/>
                <w:kern w:val="0"/>
                <w:sz w:val="21"/>
                <w:szCs w:val="21"/>
                <w:u w:val="none"/>
                <w:lang w:val="en-US" w:eastAsia="zh-CN" w:bidi="ar"/>
              </w:rPr>
              <w:t>检查心脏、两肺、纵隔、膈、胸膜，判断有无炎症、肿瘤等 。</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10</w:t>
            </w:r>
          </w:p>
        </w:tc>
        <w:tc>
          <w:tcPr>
            <w:tcW w:w="7966" w:type="dxa"/>
            <w:gridSpan w:val="3"/>
            <w:tcBorders>
              <w:top w:val="single" w:color="000000" w:sz="4" w:space="0"/>
              <w:left w:val="single" w:color="000000" w:sz="4" w:space="0"/>
              <w:bottom w:val="single" w:color="000000" w:sz="4" w:space="0"/>
              <w:right w:val="single" w:color="000000" w:sz="4" w:space="0"/>
            </w:tcBorders>
            <w:shd w:val="clear" w:color="auto" w:fill="FBE4D5"/>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其它</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11</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眼科</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rPr>
            </w:pPr>
            <w:r>
              <w:rPr>
                <w:rFonts w:hint="eastAsia" w:ascii="Verdana" w:hAnsi="Verdana" w:eastAsia="宋体" w:cs="Verdana"/>
                <w:i w:val="0"/>
                <w:color w:val="333333"/>
                <w:sz w:val="21"/>
                <w:szCs w:val="21"/>
                <w:u w:val="none"/>
                <w:lang w:val="en-US" w:eastAsia="zh-CN"/>
              </w:rPr>
              <w:t>双眼视力常规检查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48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12</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健康评估</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333333"/>
                <w:sz w:val="21"/>
                <w:szCs w:val="21"/>
                <w:u w:val="none"/>
                <w:lang w:val="en-US" w:eastAsia="zh-CN"/>
              </w:rPr>
            </w:pPr>
            <w:r>
              <w:rPr>
                <w:rFonts w:hint="eastAsia" w:ascii="宋体" w:hAnsi="宋体" w:eastAsia="宋体" w:cs="宋体"/>
                <w:i w:val="0"/>
                <w:color w:val="333333"/>
                <w:sz w:val="21"/>
                <w:szCs w:val="21"/>
                <w:u w:val="none"/>
                <w:lang w:val="en-US" w:eastAsia="zh-CN"/>
              </w:rPr>
              <w:t>综合体检报告分析上报</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25"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13</w:t>
            </w:r>
          </w:p>
        </w:tc>
        <w:tc>
          <w:tcPr>
            <w:tcW w:w="140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采血材料</w:t>
            </w:r>
          </w:p>
        </w:tc>
        <w:tc>
          <w:tcPr>
            <w:tcW w:w="2543"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一次性医用材料</w:t>
            </w:r>
          </w:p>
        </w:tc>
        <w:tc>
          <w:tcPr>
            <w:tcW w:w="4017"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jc w:val="center"/>
              <w:textAlignment w:val="center"/>
              <w:rPr>
                <w:rFonts w:hint="default" w:ascii="Verdana" w:hAnsi="Verdana" w:eastAsia="宋体" w:cs="Verdana"/>
                <w:i w:val="0"/>
                <w:color w:val="333333"/>
                <w:sz w:val="21"/>
                <w:szCs w:val="21"/>
                <w:u w:val="none"/>
                <w:lang w:val="en-US" w:eastAsia="zh-CN" w:bidi="ar-SA"/>
              </w:rPr>
            </w:pPr>
            <w:r>
              <w:rPr>
                <w:rFonts w:hint="default" w:ascii="Verdana" w:hAnsi="Verdana" w:eastAsia="宋体" w:cs="Verdana"/>
                <w:i w:val="0"/>
                <w:color w:val="333333"/>
                <w:kern w:val="0"/>
                <w:sz w:val="21"/>
                <w:szCs w:val="21"/>
                <w:u w:val="none"/>
                <w:lang w:val="en-US" w:eastAsia="zh-CN" w:bidi="ar"/>
              </w:rPr>
              <w:t>防止交叉感染等</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eastAsia="zh-CN" w:bidi="ar-SA"/>
              </w:rPr>
            </w:pPr>
            <w:r>
              <w:rPr>
                <w:rFonts w:hint="eastAsia" w:ascii="宋体" w:hAnsi="宋体" w:eastAsia="宋体" w:cs="宋体"/>
                <w:i w:val="0"/>
                <w:color w:val="000000"/>
                <w:kern w:val="0"/>
                <w:sz w:val="24"/>
                <w:szCs w:val="24"/>
                <w:u w:val="none"/>
                <w:lang w:val="en-US" w:eastAsia="zh-CN" w:bidi="ar"/>
              </w:rPr>
              <w:t>14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报告汇总</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医生评估及体检总结</w:t>
            </w: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333333"/>
                <w:sz w:val="21"/>
                <w:szCs w:val="21"/>
                <w:u w:val="none"/>
                <w:lang w:val="en-US" w:eastAsia="zh-CN" w:bidi="ar-SA"/>
              </w:rPr>
            </w:pPr>
            <w:r>
              <w:rPr>
                <w:rFonts w:hint="eastAsia" w:ascii="宋体" w:hAnsi="宋体" w:eastAsia="宋体" w:cs="宋体"/>
                <w:i w:val="0"/>
                <w:color w:val="333333"/>
                <w:kern w:val="0"/>
                <w:sz w:val="21"/>
                <w:szCs w:val="21"/>
                <w:u w:val="none"/>
                <w:lang w:val="en-US" w:eastAsia="zh-CN" w:bidi="ar"/>
              </w:rPr>
              <w:t>给出体检结论及建议</w:t>
            </w: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333333"/>
                <w:sz w:val="22"/>
                <w:szCs w:val="22"/>
                <w:u w:val="none"/>
                <w:lang w:val="en-US" w:eastAsia="zh-CN" w:bidi="ar-SA"/>
              </w:rPr>
            </w:pPr>
            <w:r>
              <w:rPr>
                <w:rFonts w:hint="eastAsia" w:ascii="宋体" w:hAnsi="宋体" w:eastAsia="宋体" w:cs="宋体"/>
                <w:i w:val="0"/>
                <w:color w:val="333333"/>
                <w:kern w:val="0"/>
                <w:sz w:val="21"/>
                <w:szCs w:val="21"/>
                <w:u w:val="none"/>
                <w:lang w:val="en-US" w:eastAsia="zh-CN" w:bidi="ar"/>
              </w:rPr>
              <w:t>总价</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Verdana" w:hAnsi="Verdana" w:eastAsia="宋体" w:cs="Verdana"/>
                <w:i w:val="0"/>
                <w:color w:val="333333"/>
                <w:sz w:val="21"/>
                <w:szCs w:val="21"/>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r>
        <w:tblPrEx>
          <w:tblCellMar>
            <w:top w:w="0" w:type="dxa"/>
            <w:left w:w="0" w:type="dxa"/>
            <w:bottom w:w="0" w:type="dxa"/>
            <w:right w:w="0" w:type="dxa"/>
          </w:tblCellMar>
        </w:tblPrEx>
        <w:trPr>
          <w:trHeight w:val="540" w:hRule="atLeast"/>
        </w:trPr>
        <w:tc>
          <w:tcPr>
            <w:tcW w:w="31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FF0000"/>
                <w:sz w:val="24"/>
                <w:szCs w:val="24"/>
                <w:u w:val="none"/>
                <w:lang w:val="en-US" w:eastAsia="zh-CN" w:bidi="ar-SA"/>
              </w:rPr>
            </w:pPr>
            <w:r>
              <w:rPr>
                <w:rFonts w:hint="eastAsia" w:ascii="宋体" w:hAnsi="宋体" w:eastAsia="宋体" w:cs="宋体"/>
                <w:i w:val="0"/>
                <w:color w:val="333333"/>
                <w:kern w:val="0"/>
                <w:sz w:val="21"/>
                <w:szCs w:val="21"/>
                <w:u w:val="none"/>
                <w:lang w:val="en-US" w:eastAsia="zh-CN" w:bidi="ar"/>
              </w:rPr>
              <w:t>折后</w:t>
            </w:r>
          </w:p>
        </w:tc>
        <w:tc>
          <w:tcPr>
            <w:tcW w:w="25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401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lang w:val="en-US" w:eastAsia="zh-CN" w:bidi="ar-SA"/>
              </w:rPr>
            </w:pPr>
          </w:p>
        </w:tc>
        <w:tc>
          <w:tcPr>
            <w:tcW w:w="13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11917121"/>
      <w:bookmarkStart w:id="114" w:name="_Toc203355738"/>
      <w:bookmarkStart w:id="115" w:name="_Toc213755864"/>
      <w:bookmarkStart w:id="116" w:name="_Toc193160453"/>
      <w:bookmarkStart w:id="117" w:name="_Toc193165739"/>
      <w:bookmarkStart w:id="118" w:name="_Toc253066624"/>
      <w:bookmarkStart w:id="119" w:name="_Toc192663840"/>
      <w:bookmarkStart w:id="120" w:name="_Toc192996343"/>
      <w:bookmarkStart w:id="121" w:name="_Toc192664158"/>
      <w:bookmarkStart w:id="122" w:name="_Toc192996451"/>
      <w:bookmarkStart w:id="123" w:name="_Toc191802695"/>
      <w:bookmarkStart w:id="124" w:name="_Toc191803631"/>
      <w:bookmarkStart w:id="125" w:name="_Toc192663691"/>
      <w:bookmarkStart w:id="126" w:name="_Toc191789334"/>
      <w:bookmarkStart w:id="127" w:name="_Toc191783227"/>
      <w:bookmarkStart w:id="128" w:name="_Toc182805222"/>
      <w:bookmarkStart w:id="129" w:name="_Toc182372787"/>
      <w:bookmarkStart w:id="130" w:name="_Toc181436570"/>
      <w:bookmarkStart w:id="131" w:name="_Toc181436466"/>
      <w:bookmarkStart w:id="132" w:name="_Toc251613839"/>
      <w:bookmarkStart w:id="133" w:name="_Toc177985474"/>
      <w:bookmarkStart w:id="134" w:name="_Toc169332843"/>
      <w:bookmarkStart w:id="135" w:name="_Toc180302918"/>
      <w:bookmarkStart w:id="136" w:name="_Toc169332954"/>
      <w:bookmarkStart w:id="137" w:name="_Toc170798798"/>
      <w:bookmarkStart w:id="138" w:name="_Toc16088053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27058536"/>
      <w:bookmarkStart w:id="147" w:name="_Toc230071153"/>
      <w:bookmarkStart w:id="148" w:name="_Toc232302122"/>
      <w:bookmarkStart w:id="149" w:name="_Toc235437998"/>
      <w:bookmarkStart w:id="150" w:name="_Toc235438281"/>
      <w:bookmarkStart w:id="151" w:name="_Toc235438352"/>
      <w:bookmarkStart w:id="152" w:name="_Toc236021457"/>
      <w:bookmarkStart w:id="153" w:name="_Toc160880165"/>
      <w:bookmarkStart w:id="154" w:name="_Toc249325720"/>
      <w:bookmarkStart w:id="155" w:name="_Toc213208771"/>
      <w:bookmarkStart w:id="156" w:name="_Toc251586241"/>
      <w:bookmarkStart w:id="157" w:name="_Toc255975016"/>
      <w:bookmarkStart w:id="158" w:name="_Toc254790909"/>
      <w:bookmarkStart w:id="159" w:name="_Toc267060326"/>
      <w:bookmarkStart w:id="160" w:name="_Toc258401265"/>
      <w:bookmarkStart w:id="161" w:name="_Toc259520874"/>
      <w:bookmarkStart w:id="162" w:name="_Toc259692656"/>
      <w:bookmarkStart w:id="163" w:name="_Toc259692749"/>
      <w:bookmarkStart w:id="164" w:name="_Toc266868679"/>
      <w:bookmarkStart w:id="165" w:name="_Toc266868943"/>
      <w:bookmarkStart w:id="166" w:name="_Toc266870441"/>
      <w:bookmarkStart w:id="167" w:name="_Toc266870839"/>
      <w:bookmarkStart w:id="168" w:name="_Toc266870916"/>
      <w:bookmarkStart w:id="169" w:name="_Toc267059035"/>
      <w:bookmarkStart w:id="170" w:name="_Toc267059186"/>
      <w:bookmarkStart w:id="171" w:name="_Toc267059544"/>
      <w:bookmarkStart w:id="172" w:name="_Toc267059658"/>
      <w:bookmarkStart w:id="173" w:name="_Toc267059811"/>
      <w:bookmarkStart w:id="174" w:name="_Toc267059924"/>
      <w:bookmarkStart w:id="175" w:name="_Toc267060076"/>
      <w:bookmarkStart w:id="176" w:name="_Toc267060216"/>
      <w:bookmarkStart w:id="177" w:name="_Toc273178703"/>
      <w:bookmarkStart w:id="178" w:name="_Toc267060461"/>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0"/>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《医疗机构执业许可证》</w:t>
      </w:r>
      <w:r>
        <w:rPr>
          <w:rFonts w:hint="eastAsia" w:ascii="仿宋" w:hAnsi="仿宋" w:eastAsia="仿宋"/>
          <w:sz w:val="24"/>
          <w:szCs w:val="24"/>
          <w:lang w:val="en-US" w:eastAsia="zh-CN"/>
        </w:rPr>
        <w:t>及其他</w:t>
      </w:r>
      <w:r>
        <w:rPr>
          <w:rFonts w:hint="eastAsia" w:ascii="仿宋" w:hAnsi="仿宋" w:eastAsia="仿宋"/>
          <w:sz w:val="24"/>
          <w:szCs w:val="24"/>
        </w:rPr>
        <w:t>证明材料复印件</w:t>
      </w:r>
    </w:p>
    <w:p>
      <w:pPr>
        <w:pStyle w:val="55"/>
        <w:numPr>
          <w:ilvl w:val="0"/>
          <w:numId w:val="6"/>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hint="eastAsia"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p>
      <w:pPr>
        <w:spacing w:line="380" w:lineRule="exact"/>
        <w:rPr>
          <w:rFonts w:hint="eastAsia" w:ascii="仿宋" w:hAnsi="仿宋" w:eastAsia="仿宋"/>
          <w:b/>
          <w:bCs/>
          <w:sz w:val="24"/>
          <w:szCs w:val="24"/>
        </w:rPr>
      </w:pP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Verdana">
    <w:panose1 w:val="020B0604030504040204"/>
    <w:charset w:val="00"/>
    <w:family w:val="auto"/>
    <w:pitch w:val="default"/>
    <w:sig w:usb0="A1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332EF1"/>
    <w:rsid w:val="09084E87"/>
    <w:rsid w:val="0D307E8A"/>
    <w:rsid w:val="157F7DDC"/>
    <w:rsid w:val="18D57D44"/>
    <w:rsid w:val="195C48EC"/>
    <w:rsid w:val="20824517"/>
    <w:rsid w:val="2217612C"/>
    <w:rsid w:val="2AF83936"/>
    <w:rsid w:val="2B3074F7"/>
    <w:rsid w:val="2D8E211C"/>
    <w:rsid w:val="2E270142"/>
    <w:rsid w:val="2F22390A"/>
    <w:rsid w:val="32526FC5"/>
    <w:rsid w:val="330357B4"/>
    <w:rsid w:val="33764BB3"/>
    <w:rsid w:val="339B6BB3"/>
    <w:rsid w:val="344B34FC"/>
    <w:rsid w:val="358B42C7"/>
    <w:rsid w:val="4015230F"/>
    <w:rsid w:val="57AC13B3"/>
    <w:rsid w:val="5CD14950"/>
    <w:rsid w:val="5CDD4B84"/>
    <w:rsid w:val="5F7C5731"/>
    <w:rsid w:val="62F32E68"/>
    <w:rsid w:val="642A31ED"/>
    <w:rsid w:val="65EB38ED"/>
    <w:rsid w:val="6BAB4BA6"/>
    <w:rsid w:val="6C176CF4"/>
    <w:rsid w:val="70E72812"/>
    <w:rsid w:val="7C3F5F69"/>
    <w:rsid w:val="7EAB78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9"/>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8"/>
    <w:unhideWhenUsed/>
    <w:qFormat/>
    <w:uiPriority w:val="0"/>
    <w:rPr>
      <w:rFonts w:hAnsi="Courier New" w:cs="Courier New" w:asciiTheme="minorEastAsia"/>
    </w:rPr>
  </w:style>
  <w:style w:type="paragraph" w:styleId="16">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paragraph" w:styleId="23">
    <w:name w:val="Body Text First Indent"/>
    <w:basedOn w:val="13"/>
    <w:qFormat/>
    <w:uiPriority w:val="99"/>
    <w:pPr>
      <w:spacing w:after="120" w:line="240" w:lineRule="auto"/>
      <w:ind w:firstLine="420" w:firstLineChars="100"/>
    </w:pPr>
    <w:rPr>
      <w:sz w:val="21"/>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6"/>
    <w:semiHidden/>
    <w:qFormat/>
    <w:uiPriority w:val="9"/>
    <w:rPr>
      <w:rFonts w:asciiTheme="majorHAnsi" w:hAnsiTheme="majorHAnsi" w:eastAsiaTheme="majorEastAsia" w:cstheme="majorBidi"/>
      <w:b/>
      <w:bCs/>
    </w:rPr>
  </w:style>
  <w:style w:type="character" w:customStyle="1" w:styleId="34">
    <w:name w:val="标题 6 字符"/>
    <w:basedOn w:val="25"/>
    <w:link w:val="7"/>
    <w:semiHidden/>
    <w:qFormat/>
    <w:uiPriority w:val="9"/>
    <w:rPr>
      <w:rFonts w:asciiTheme="majorHAnsi" w:hAnsiTheme="majorHAnsi" w:eastAsiaTheme="majorEastAsia" w:cstheme="majorBidi"/>
      <w:b/>
      <w:bCs/>
      <w:i/>
      <w:iCs/>
    </w:rPr>
  </w:style>
  <w:style w:type="character" w:customStyle="1" w:styleId="35">
    <w:name w:val="标题 7 字符"/>
    <w:basedOn w:val="25"/>
    <w:link w:val="8"/>
    <w:semiHidden/>
    <w:qFormat/>
    <w:uiPriority w:val="9"/>
    <w:rPr>
      <w:i/>
      <w:iCs/>
    </w:rPr>
  </w:style>
  <w:style w:type="character" w:customStyle="1" w:styleId="36">
    <w:name w:val="标题 8 字符"/>
    <w:basedOn w:val="25"/>
    <w:link w:val="9"/>
    <w:semiHidden/>
    <w:qFormat/>
    <w:uiPriority w:val="9"/>
    <w:rPr>
      <w:b/>
      <w:bCs/>
    </w:rPr>
  </w:style>
  <w:style w:type="character" w:customStyle="1" w:styleId="37">
    <w:name w:val="标题 9 字符"/>
    <w:basedOn w:val="25"/>
    <w:link w:val="10"/>
    <w:semiHidden/>
    <w:qFormat/>
    <w:uiPriority w:val="9"/>
    <w:rPr>
      <w:i/>
      <w:iCs/>
    </w:rPr>
  </w:style>
  <w:style w:type="character" w:customStyle="1" w:styleId="38">
    <w:name w:val="标题 字符"/>
    <w:basedOn w:val="25"/>
    <w:link w:val="22"/>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19"/>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5"/>
    <w:link w:val="40"/>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7"/>
    <w:qFormat/>
    <w:uiPriority w:val="99"/>
    <w:rPr>
      <w:sz w:val="18"/>
      <w:szCs w:val="18"/>
    </w:rPr>
  </w:style>
  <w:style w:type="character" w:customStyle="1" w:styleId="54">
    <w:name w:val="页脚 字符"/>
    <w:basedOn w:val="25"/>
    <w:link w:val="16"/>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0"/>
    <w:qFormat/>
    <w:uiPriority w:val="0"/>
    <w:rPr>
      <w:rFonts w:ascii="Times New Roman" w:hAnsi="Times New Roman" w:eastAsia="宋体" w:cs="Times New Roman"/>
      <w:kern w:val="2"/>
      <w:sz w:val="16"/>
      <w:szCs w:val="16"/>
    </w:rPr>
  </w:style>
  <w:style w:type="paragraph" w:customStyle="1" w:styleId="57">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5"/>
    <w:semiHidden/>
    <w:qFormat/>
    <w:uiPriority w:val="99"/>
    <w:rPr>
      <w:rFonts w:hAnsi="Courier New" w:cs="Courier New" w:asciiTheme="minorEastAsia"/>
    </w:rPr>
  </w:style>
  <w:style w:type="character" w:customStyle="1" w:styleId="59">
    <w:name w:val="正文文本 字符"/>
    <w:basedOn w:val="25"/>
    <w:link w:val="1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 w:type="character" w:customStyle="1" w:styleId="61">
    <w:name w:val="font51"/>
    <w:basedOn w:val="25"/>
    <w:qFormat/>
    <w:uiPriority w:val="0"/>
    <w:rPr>
      <w:rFonts w:hint="default" w:ascii="Verdana" w:hAnsi="Verdana" w:cs="Verdana"/>
      <w:color w:val="333333"/>
      <w:sz w:val="21"/>
      <w:szCs w:val="21"/>
      <w:u w:val="none"/>
    </w:rPr>
  </w:style>
  <w:style w:type="character" w:customStyle="1" w:styleId="62">
    <w:name w:val="font132"/>
    <w:basedOn w:val="25"/>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2</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2022-07-13T07:12:29Z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