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spacing w:line="360" w:lineRule="auto"/>
        <w:jc w:val="center"/>
        <w:outlineLvl w:val="0"/>
        <w:rPr>
          <w:rFonts w:ascii="仿宋" w:hAnsi="仿宋" w:eastAsia="仿宋"/>
          <w:b/>
          <w:color w:val="auto"/>
          <w:sz w:val="44"/>
          <w:szCs w:val="44"/>
        </w:rPr>
      </w:pPr>
      <w:bookmarkStart w:id="0" w:name="_Toc266868924"/>
      <w:bookmarkStart w:id="1" w:name="_Toc251613780"/>
      <w:bookmarkStart w:id="2" w:name="_Toc266868624"/>
      <w:bookmarkStart w:id="3" w:name="_Toc267059786"/>
      <w:bookmarkStart w:id="4" w:name="_Toc259692693"/>
      <w:bookmarkStart w:id="5" w:name="_Toc267059899"/>
      <w:bookmarkStart w:id="6" w:name="_Toc267060407"/>
      <w:bookmarkStart w:id="7" w:name="_Toc267060162"/>
      <w:bookmarkStart w:id="8" w:name="_Toc259692600"/>
      <w:bookmarkStart w:id="9" w:name="_Toc267060022"/>
      <w:bookmarkStart w:id="10" w:name="_Toc259520819"/>
      <w:bookmarkStart w:id="11" w:name="_Toc267059633"/>
      <w:bookmarkStart w:id="12" w:name="_Toc251586187"/>
      <w:bookmarkStart w:id="13" w:name="_Toc253066567"/>
      <w:bookmarkStart w:id="14" w:name="_Toc212456146"/>
      <w:bookmarkStart w:id="15" w:name="_Toc169332904"/>
      <w:bookmarkStart w:id="16" w:name="_Toc267059010"/>
      <w:bookmarkStart w:id="17" w:name="_Toc235438297"/>
      <w:bookmarkStart w:id="18" w:name="_Toc212530253"/>
      <w:bookmarkStart w:id="19" w:name="_Toc177985424"/>
      <w:bookmarkStart w:id="20" w:name="_Toc236021402"/>
      <w:bookmarkStart w:id="21" w:name="_Toc235438227"/>
      <w:bookmarkStart w:id="22" w:name="_Toc219800200"/>
      <w:bookmarkStart w:id="23" w:name="_Toc170798743"/>
      <w:bookmarkStart w:id="24" w:name="_Toc225669277"/>
      <w:bookmarkStart w:id="25" w:name="_Toc211937196"/>
      <w:bookmarkStart w:id="26" w:name="_Toc258401210"/>
      <w:bookmarkStart w:id="27" w:name="_Toc254790852"/>
      <w:bookmarkStart w:id="28" w:name="_Toc267059161"/>
      <w:bookmarkStart w:id="29" w:name="_Toc207014580"/>
      <w:bookmarkStart w:id="30" w:name="_Toc212526081"/>
      <w:bookmarkStart w:id="31" w:name="_Toc169332794"/>
      <w:bookmarkStart w:id="32" w:name="_Toc255974963"/>
      <w:bookmarkStart w:id="33" w:name="_Toc212454753"/>
      <w:bookmarkStart w:id="34" w:name="_Toc160880487"/>
      <w:bookmarkStart w:id="35" w:name="_Toc227058483"/>
      <w:bookmarkStart w:id="36" w:name="_Toc217891359"/>
      <w:bookmarkStart w:id="37" w:name="_Toc216241307"/>
      <w:bookmarkStart w:id="38" w:name="_Toc223146565"/>
      <w:bookmarkStart w:id="39" w:name="_Toc266870386"/>
      <w:bookmarkStart w:id="40" w:name="_Toc235437942"/>
      <w:bookmarkStart w:id="41" w:name="_Toc249325665"/>
      <w:bookmarkStart w:id="42" w:name="_Toc267059519"/>
      <w:bookmarkStart w:id="43" w:name="_Toc266870861"/>
      <w:bookmarkStart w:id="44" w:name="_Toc273178686"/>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s="仿宋"/>
          <w:color w:val="auto"/>
          <w:sz w:val="28"/>
          <w:szCs w:val="28"/>
        </w:rPr>
      </w:pPr>
      <w:bookmarkStart w:id="45" w:name="_Hlk10840310"/>
      <w:r>
        <w:rPr>
          <w:rFonts w:hint="eastAsia" w:ascii="仿宋" w:hAnsi="仿宋" w:eastAsia="仿宋" w:cstheme="minorBidi"/>
          <w:sz w:val="24"/>
          <w:szCs w:val="24"/>
          <w:highlight w:val="none"/>
          <w:lang w:val="en-US" w:eastAsia="zh-CN" w:bidi="ar-SA"/>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关于</w:t>
      </w:r>
      <w:r>
        <w:rPr>
          <w:rFonts w:hint="eastAsia" w:ascii="仿宋" w:hAnsi="仿宋" w:eastAsia="仿宋"/>
          <w:color w:val="auto"/>
          <w:sz w:val="24"/>
          <w:szCs w:val="24"/>
          <w:lang w:val="en-US" w:eastAsia="zh-CN"/>
        </w:rPr>
        <w:t>招办14座半封闭电动观光车</w:t>
      </w:r>
      <w:r>
        <w:rPr>
          <w:rFonts w:hint="eastAsia" w:ascii="仿宋" w:hAnsi="仿宋" w:eastAsia="仿宋"/>
          <w:color w:val="auto"/>
          <w:sz w:val="24"/>
          <w:szCs w:val="24"/>
          <w:lang w:eastAsia="zh-CN"/>
        </w:rPr>
        <w:t>采购项目</w:t>
      </w:r>
      <w:r>
        <w:rPr>
          <w:rFonts w:hint="eastAsia" w:ascii="仿宋" w:hAnsi="仿宋" w:eastAsia="仿宋" w:cstheme="minorBidi"/>
          <w:sz w:val="24"/>
          <w:szCs w:val="24"/>
          <w:highlight w:val="none"/>
          <w:lang w:val="en-US" w:eastAsia="zh-CN" w:bidi="ar-SA"/>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highlight w:val="none"/>
          <w:lang w:eastAsia="zh-CN"/>
        </w:rPr>
        <w:t>ZZCG202</w:t>
      </w:r>
      <w:r>
        <w:rPr>
          <w:rFonts w:hint="eastAsia" w:ascii="仿宋" w:hAnsi="仿宋" w:eastAsia="仿宋"/>
          <w:color w:val="auto"/>
          <w:sz w:val="24"/>
          <w:szCs w:val="24"/>
          <w:highlight w:val="none"/>
          <w:lang w:val="en-US" w:eastAsia="zh-CN"/>
        </w:rPr>
        <w:t>21118</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w:t>
      </w:r>
      <w:r>
        <w:rPr>
          <w:rFonts w:hint="eastAsia" w:ascii="仿宋" w:hAnsi="仿宋" w:eastAsia="仿宋"/>
          <w:color w:val="auto"/>
          <w:sz w:val="24"/>
          <w:szCs w:val="24"/>
          <w:lang w:val="en-US" w:eastAsia="zh-CN"/>
        </w:rPr>
        <w:t>14座半封闭电动观光车</w:t>
      </w:r>
      <w:r>
        <w:rPr>
          <w:rFonts w:hint="eastAsia" w:ascii="仿宋" w:hAnsi="仿宋" w:eastAsia="仿宋"/>
          <w:color w:val="auto"/>
          <w:sz w:val="24"/>
          <w:szCs w:val="24"/>
          <w:lang w:eastAsia="zh-CN"/>
        </w:rPr>
        <w:t>采购项目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lang w:eastAsia="zh-CN"/>
        </w:rPr>
        <w:t>采购数量：</w:t>
      </w:r>
      <w:r>
        <w:rPr>
          <w:rFonts w:hint="eastAsia" w:ascii="仿宋" w:hAnsi="仿宋" w:eastAsia="仿宋"/>
          <w:color w:val="auto"/>
          <w:sz w:val="24"/>
          <w:szCs w:val="24"/>
          <w:lang w:val="en-US" w:eastAsia="zh-CN"/>
        </w:rPr>
        <w:t>2辆</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主要技术要求:详见《公开</w:t>
      </w:r>
      <w:r>
        <w:rPr>
          <w:rFonts w:hint="eastAsia" w:ascii="仿宋" w:hAnsi="仿宋" w:eastAsia="仿宋"/>
          <w:color w:val="auto"/>
          <w:sz w:val="24"/>
          <w:szCs w:val="24"/>
          <w:highlight w:val="none"/>
          <w:lang w:eastAsia="zh-CN"/>
        </w:rPr>
        <w:t>询价</w:t>
      </w:r>
      <w:r>
        <w:rPr>
          <w:rFonts w:hint="eastAsia" w:ascii="仿宋" w:hAnsi="仿宋" w:eastAsia="仿宋"/>
          <w:color w:val="auto"/>
          <w:sz w:val="24"/>
          <w:szCs w:val="24"/>
          <w:highlight w:val="none"/>
        </w:rPr>
        <w:t>项目</w:t>
      </w:r>
      <w:r>
        <w:rPr>
          <w:rFonts w:hint="eastAsia" w:ascii="仿宋" w:hAnsi="仿宋" w:eastAsia="仿宋"/>
          <w:color w:val="auto"/>
          <w:sz w:val="24"/>
          <w:szCs w:val="24"/>
          <w:highlight w:val="none"/>
          <w:lang w:eastAsia="zh-CN"/>
        </w:rPr>
        <w:t>一览表</w:t>
      </w:r>
      <w:r>
        <w:rPr>
          <w:rFonts w:hint="eastAsia" w:ascii="仿宋" w:hAnsi="仿宋" w:eastAsia="仿宋"/>
          <w:color w:val="auto"/>
          <w:sz w:val="24"/>
          <w:szCs w:val="24"/>
          <w:highlight w:val="none"/>
        </w:rPr>
        <w:t>》。</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4"/>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参与人应具有独立法人资格的生产厂商或授权经销商。</w:t>
      </w:r>
    </w:p>
    <w:p>
      <w:pPr>
        <w:pStyle w:val="54"/>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highlight w:val="none"/>
        </w:rPr>
        <w:t>参与人应具有合法有效的营业执照，经营范围应包括项目所需经营范围</w:t>
      </w:r>
      <w:r>
        <w:rPr>
          <w:rFonts w:hint="eastAsia" w:ascii="仿宋" w:hAnsi="仿宋" w:eastAsia="仿宋"/>
          <w:sz w:val="24"/>
          <w:szCs w:val="24"/>
          <w:highlight w:val="none"/>
          <w:lang w:eastAsia="zh-CN"/>
        </w:rPr>
        <w:t>的</w:t>
      </w:r>
      <w:r>
        <w:rPr>
          <w:rFonts w:hint="eastAsia" w:ascii="仿宋" w:hAnsi="仿宋" w:eastAsia="仿宋"/>
          <w:sz w:val="24"/>
          <w:szCs w:val="24"/>
          <w:highlight w:val="none"/>
        </w:rPr>
        <w:t>经营许可证</w:t>
      </w:r>
      <w:r>
        <w:rPr>
          <w:rFonts w:hint="eastAsia" w:ascii="仿宋" w:hAnsi="仿宋" w:eastAsia="仿宋"/>
          <w:sz w:val="24"/>
          <w:szCs w:val="24"/>
          <w:highlight w:val="none"/>
          <w:lang w:eastAsia="zh-CN"/>
        </w:rPr>
        <w:t>。</w:t>
      </w:r>
    </w:p>
    <w:p>
      <w:pPr>
        <w:pStyle w:val="54"/>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有提</w:t>
      </w:r>
      <w:r>
        <w:rPr>
          <w:rFonts w:hint="eastAsia" w:ascii="仿宋" w:hAnsi="仿宋" w:eastAsia="仿宋"/>
          <w:sz w:val="24"/>
          <w:szCs w:val="24"/>
        </w:rPr>
        <w:t>供</w:t>
      </w:r>
      <w:r>
        <w:rPr>
          <w:rFonts w:ascii="仿宋" w:hAnsi="仿宋" w:eastAsia="仿宋"/>
          <w:sz w:val="24"/>
          <w:szCs w:val="24"/>
        </w:rPr>
        <w:t>服务的资格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lang w:eastAsia="zh-CN"/>
        </w:rPr>
        <w:t>，</w:t>
      </w:r>
      <w:r>
        <w:rPr>
          <w:rFonts w:hint="eastAsia" w:ascii="仿宋" w:hAnsi="仿宋" w:eastAsia="仿宋"/>
          <w:sz w:val="24"/>
          <w:szCs w:val="24"/>
        </w:rPr>
        <w:t>具备相应的维护保养能力。</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sz w:val="24"/>
          <w:szCs w:val="24"/>
        </w:rPr>
        <w:t>报价响应文件递交方</w:t>
      </w:r>
      <w:r>
        <w:rPr>
          <w:rFonts w:hint="eastAsia" w:ascii="仿宋" w:hAnsi="仿宋" w:eastAsia="仿宋"/>
          <w:color w:val="auto"/>
          <w:sz w:val="24"/>
          <w:szCs w:val="24"/>
        </w:rPr>
        <w:t>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11</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29</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sz w:val="24"/>
          <w:szCs w:val="24"/>
          <w:shd w:val="clear" w:color="auto" w:fill="FFFFFF"/>
        </w:rPr>
        <w:t>前（以参与人快递寄出时间为准，邮寄时应提前告知）。</w:t>
      </w:r>
    </w:p>
    <w:p>
      <w:pPr>
        <w:widowControl w:val="0"/>
        <w:numPr>
          <w:ilvl w:val="1"/>
          <w:numId w:val="1"/>
        </w:numPr>
        <w:spacing w:after="0" w:line="500" w:lineRule="exact"/>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报价响应文件递交地点：</w:t>
      </w:r>
      <w:r>
        <w:rPr>
          <w:rFonts w:hint="eastAsia" w:ascii="仿宋" w:hAnsi="仿宋" w:eastAsia="仿宋"/>
          <w:color w:val="auto"/>
          <w:sz w:val="24"/>
          <w:szCs w:val="24"/>
          <w:highlight w:val="none"/>
          <w:lang w:eastAsia="zh-CN"/>
        </w:rPr>
        <w:t>河南省郑州市新郑市郑州城轨交通中等专业学校行政楼二楼采购管理科办公室</w:t>
      </w:r>
      <w:r>
        <w:rPr>
          <w:rFonts w:hint="eastAsia" w:ascii="仿宋" w:hAnsi="仿宋" w:eastAsia="仿宋"/>
          <w:color w:val="auto"/>
          <w:sz w:val="24"/>
          <w:szCs w:val="24"/>
          <w:highlight w:val="none"/>
          <w:lang w:val="en-US" w:eastAsia="zh-CN"/>
        </w:rPr>
        <w:t xml:space="preserve">          </w:t>
      </w:r>
      <w:r>
        <w:rPr>
          <w:rFonts w:hint="eastAsia" w:ascii="仿宋" w:hAnsi="仿宋" w:eastAsia="仿宋"/>
          <w:color w:val="auto"/>
          <w:sz w:val="24"/>
          <w:szCs w:val="24"/>
          <w:highlight w:val="none"/>
        </w:rPr>
        <w:t>联系人：</w:t>
      </w:r>
      <w:r>
        <w:rPr>
          <w:rFonts w:hint="eastAsia" w:ascii="仿宋" w:hAnsi="仿宋" w:eastAsia="仿宋"/>
          <w:color w:val="auto"/>
          <w:sz w:val="24"/>
          <w:szCs w:val="24"/>
          <w:highlight w:val="none"/>
          <w:lang w:val="en-US" w:eastAsia="zh-CN"/>
        </w:rPr>
        <w:t>张永强</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18537172600</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本项目需参与人在递交响应文件同时提供所投产品样</w:t>
      </w:r>
      <w:r>
        <w:rPr>
          <w:rFonts w:hint="eastAsia" w:ascii="仿宋" w:hAnsi="仿宋" w:eastAsia="仿宋"/>
          <w:color w:val="auto"/>
          <w:sz w:val="24"/>
          <w:szCs w:val="24"/>
          <w:highlight w:val="none"/>
          <w:lang w:eastAsia="zh-CN"/>
        </w:rPr>
        <w:t>册及图片</w:t>
      </w:r>
      <w:r>
        <w:rPr>
          <w:rFonts w:hint="eastAsia" w:ascii="仿宋" w:hAnsi="仿宋" w:eastAsia="仿宋"/>
          <w:color w:val="auto"/>
          <w:sz w:val="24"/>
          <w:szCs w:val="24"/>
          <w:highlight w:val="none"/>
        </w:rPr>
        <w:t>，成交参与人样</w:t>
      </w:r>
      <w:r>
        <w:rPr>
          <w:rFonts w:hint="eastAsia" w:ascii="仿宋" w:hAnsi="仿宋" w:eastAsia="仿宋"/>
          <w:color w:val="auto"/>
          <w:sz w:val="24"/>
          <w:szCs w:val="24"/>
          <w:highlight w:val="none"/>
          <w:lang w:eastAsia="zh-CN"/>
        </w:rPr>
        <w:t>册及图片</w:t>
      </w:r>
      <w:r>
        <w:rPr>
          <w:rFonts w:hint="eastAsia" w:ascii="仿宋" w:hAnsi="仿宋" w:eastAsia="仿宋"/>
          <w:color w:val="auto"/>
          <w:sz w:val="24"/>
          <w:szCs w:val="24"/>
          <w:highlight w:val="none"/>
        </w:rPr>
        <w:t>视情况予以封存或退回。</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公开询价邀请函列示内容存有疑问的</w:t>
      </w:r>
      <w:r>
        <w:rPr>
          <w:rFonts w:hint="eastAsia" w:ascii="仿宋" w:hAnsi="仿宋" w:eastAsia="仿宋"/>
          <w:color w:val="auto"/>
          <w:sz w:val="24"/>
          <w:szCs w:val="24"/>
          <w:highlight w:val="none"/>
        </w:rPr>
        <w:t>，请在报价响应文件递交截止之日前，将问题以书面形式（有效签署的原件并加盖公章）提交至学校业务对接人，联系人：</w:t>
      </w:r>
      <w:r>
        <w:rPr>
          <w:rFonts w:hint="eastAsia" w:ascii="仿宋" w:hAnsi="仿宋" w:eastAsia="仿宋"/>
          <w:color w:val="auto"/>
          <w:sz w:val="24"/>
          <w:szCs w:val="24"/>
          <w:highlight w:val="none"/>
          <w:lang w:val="en-US" w:eastAsia="zh-CN"/>
        </w:rPr>
        <w:t>张永强</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18537172600</w:t>
      </w:r>
      <w:r>
        <w:rPr>
          <w:rFonts w:hint="eastAsia" w:ascii="仿宋" w:hAnsi="仿宋" w:eastAsia="仿宋"/>
          <w:color w:val="auto"/>
          <w:sz w:val="24"/>
          <w:szCs w:val="24"/>
          <w:highlight w:val="none"/>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highlight w:val="none"/>
        </w:rPr>
      </w:pPr>
      <w:bookmarkStart w:id="46" w:name="_Hlk97917519"/>
      <w:r>
        <w:rPr>
          <w:rFonts w:hint="eastAsia" w:ascii="仿宋" w:hAnsi="仿宋" w:eastAsia="仿宋"/>
          <w:color w:val="auto"/>
          <w:sz w:val="24"/>
          <w:szCs w:val="24"/>
          <w:highlight w:val="none"/>
        </w:rPr>
        <w:t>本项目最终成交结果会在中教集团后勤贤知平台“中标信息公示”板块公示，网址：</w:t>
      </w:r>
      <w:r>
        <w:rPr>
          <w:color w:val="auto"/>
          <w:highlight w:val="none"/>
        </w:rPr>
        <w:fldChar w:fldCharType="begin"/>
      </w:r>
      <w:r>
        <w:rPr>
          <w:color w:val="auto"/>
          <w:highlight w:val="none"/>
        </w:rPr>
        <w:instrText xml:space="preserve"> HYPERLINK "http://www.ceghqxz.com" </w:instrText>
      </w:r>
      <w:r>
        <w:rPr>
          <w:color w:val="auto"/>
          <w:highlight w:val="none"/>
        </w:rPr>
        <w:fldChar w:fldCharType="separate"/>
      </w:r>
      <w:r>
        <w:rPr>
          <w:rStyle w:val="27"/>
          <w:rFonts w:hint="eastAsia" w:ascii="仿宋" w:hAnsi="仿宋" w:eastAsia="仿宋"/>
          <w:color w:val="auto"/>
          <w:sz w:val="24"/>
          <w:szCs w:val="24"/>
          <w:highlight w:val="none"/>
        </w:rPr>
        <w:t>www.ceghqxz.com</w:t>
      </w:r>
      <w:r>
        <w:rPr>
          <w:rStyle w:val="27"/>
          <w:rFonts w:hint="eastAsia" w:ascii="仿宋" w:hAnsi="仿宋" w:eastAsia="仿宋"/>
          <w:color w:val="auto"/>
          <w:sz w:val="24"/>
          <w:szCs w:val="24"/>
          <w:highlight w:val="none"/>
        </w:rPr>
        <w:fldChar w:fldCharType="end"/>
      </w: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采购过程和成交结果有异议的，</w:t>
      </w:r>
      <w:bookmarkEnd w:id="46"/>
      <w:r>
        <w:rPr>
          <w:rFonts w:hint="eastAsia" w:ascii="仿宋" w:hAnsi="仿宋" w:eastAsia="仿宋"/>
          <w:color w:val="auto"/>
          <w:sz w:val="24"/>
          <w:szCs w:val="24"/>
          <w:highlight w:val="none"/>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highlight w:val="none"/>
        </w:rPr>
      </w:pPr>
      <w:r>
        <w:rPr>
          <w:rFonts w:hint="eastAsia" w:ascii="仿宋" w:hAnsi="仿宋" w:eastAsia="仿宋"/>
          <w:color w:val="auto"/>
          <w:sz w:val="24"/>
          <w:szCs w:val="24"/>
          <w:highlight w:val="none"/>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在质保期内由于货物质量所产生的问题免费上门维修</w:t>
      </w:r>
      <w:r>
        <w:rPr>
          <w:rFonts w:hint="eastAsia" w:ascii="仿宋" w:hAnsi="仿宋" w:eastAsia="仿宋"/>
          <w:color w:val="000000"/>
          <w:sz w:val="24"/>
          <w:szCs w:val="24"/>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整车质保期限</w:t>
      </w:r>
      <w:r>
        <w:rPr>
          <w:rFonts w:hint="eastAsia" w:ascii="仿宋" w:hAnsi="仿宋" w:eastAsia="仿宋"/>
          <w:color w:val="000000"/>
          <w:sz w:val="24"/>
          <w:szCs w:val="24"/>
          <w:lang w:val="en-US" w:eastAsia="zh-CN"/>
        </w:rPr>
        <w:t>2年；</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主要易损件更换价格表；</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售后服务承诺书；</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四、确定</w:t>
      </w:r>
      <w:r>
        <w:rPr>
          <w:rFonts w:hint="eastAsia" w:ascii="仿宋" w:hAnsi="仿宋" w:eastAsia="仿宋"/>
          <w:color w:val="auto"/>
          <w:sz w:val="24"/>
          <w:szCs w:val="24"/>
        </w:rPr>
        <w:t>成交参与人标准及原则：</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0" w:leftChars="0" w:firstLine="3092" w:firstLineChars="700"/>
        <w:jc w:val="both"/>
        <w:rPr>
          <w:rFonts w:hint="eastAsia"/>
          <w:lang w:eastAsia="zh-CN"/>
        </w:rPr>
      </w:pPr>
      <w:r>
        <w:rPr>
          <w:rFonts w:hint="eastAsia" w:ascii="仿宋" w:hAnsi="仿宋" w:eastAsia="仿宋"/>
          <w:b/>
          <w:sz w:val="44"/>
          <w:szCs w:val="44"/>
        </w:rPr>
        <w:t>公开询价项目</w:t>
      </w:r>
      <w:r>
        <w:rPr>
          <w:rFonts w:hint="eastAsia" w:ascii="仿宋" w:hAnsi="仿宋" w:eastAsia="仿宋"/>
          <w:b/>
          <w:sz w:val="44"/>
          <w:szCs w:val="44"/>
          <w:lang w:eastAsia="zh-CN"/>
        </w:rPr>
        <w:t>一览表</w:t>
      </w:r>
    </w:p>
    <w:tbl>
      <w:tblPr>
        <w:tblStyle w:val="23"/>
        <w:tblpPr w:leftFromText="180" w:rightFromText="180" w:vertAnchor="page" w:horzAnchor="page" w:tblpX="1185" w:tblpY="2302"/>
        <w:tblOverlap w:val="never"/>
        <w:tblW w:w="9690" w:type="dxa"/>
        <w:tblInd w:w="0" w:type="dxa"/>
        <w:tblLayout w:type="fixed"/>
        <w:tblCellMar>
          <w:top w:w="0" w:type="dxa"/>
          <w:left w:w="108" w:type="dxa"/>
          <w:bottom w:w="0" w:type="dxa"/>
          <w:right w:w="108" w:type="dxa"/>
        </w:tblCellMar>
      </w:tblPr>
      <w:tblGrid>
        <w:gridCol w:w="600"/>
        <w:gridCol w:w="1733"/>
        <w:gridCol w:w="4051"/>
        <w:gridCol w:w="2203"/>
        <w:gridCol w:w="1103"/>
      </w:tblGrid>
      <w:tr>
        <w:tblPrEx>
          <w:tblCellMar>
            <w:top w:w="0" w:type="dxa"/>
            <w:left w:w="108" w:type="dxa"/>
            <w:bottom w:w="0" w:type="dxa"/>
            <w:right w:w="108" w:type="dxa"/>
          </w:tblCellMar>
        </w:tblPrEx>
        <w:trPr>
          <w:trHeight w:val="735" w:hRule="atLeast"/>
        </w:trPr>
        <w:tc>
          <w:tcPr>
            <w:tcW w:w="969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pPr>
              <w:spacing w:line="400" w:lineRule="exact"/>
              <w:jc w:val="center"/>
              <w:rPr>
                <w:rFonts w:hint="eastAsia" w:ascii="仿宋" w:hAnsi="仿宋" w:eastAsia="仿宋"/>
                <w:sz w:val="24"/>
                <w:szCs w:val="24"/>
                <w:lang w:val="en-US" w:eastAsia="zh-CN"/>
              </w:rPr>
            </w:pPr>
            <w:r>
              <w:rPr>
                <w:rFonts w:hint="eastAsia" w:ascii="仿宋" w:hAnsi="仿宋" w:eastAsia="仿宋"/>
                <w:b/>
                <w:bCs/>
                <w:sz w:val="30"/>
                <w:szCs w:val="30"/>
                <w:lang w:val="en-US" w:eastAsia="zh-CN"/>
              </w:rPr>
              <w:t>14座【半封闭】电动观光车参数参考表</w:t>
            </w:r>
          </w:p>
        </w:tc>
      </w:tr>
      <w:tr>
        <w:tblPrEx>
          <w:tblCellMar>
            <w:top w:w="0" w:type="dxa"/>
            <w:left w:w="108" w:type="dxa"/>
            <w:bottom w:w="0" w:type="dxa"/>
            <w:right w:w="108" w:type="dxa"/>
          </w:tblCellMar>
        </w:tblPrEx>
        <w:trPr>
          <w:trHeight w:val="340" w:hRule="atLeast"/>
        </w:trPr>
        <w:tc>
          <w:tcPr>
            <w:tcW w:w="600" w:type="dxa"/>
            <w:vMerge w:val="restart"/>
            <w:tcBorders>
              <w:top w:val="single" w:color="auto" w:sz="4" w:space="0"/>
              <w:left w:val="single" w:color="auto" w:sz="4" w:space="0"/>
              <w:bottom w:val="single" w:color="auto" w:sz="4" w:space="0"/>
              <w:right w:val="single" w:color="auto" w:sz="4" w:space="0"/>
            </w:tcBorders>
            <w:shd w:val="clear" w:color="auto" w:fill="auto"/>
            <w:textDirection w:val="tbRlV"/>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电气系统</w:t>
            </w:r>
          </w:p>
        </w:tc>
        <w:tc>
          <w:tcPr>
            <w:tcW w:w="1733" w:type="dxa"/>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电控及加速系统</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高效智能控制器，带防倒滑和下坡限速功能</w:t>
            </w:r>
          </w:p>
        </w:tc>
      </w:tr>
      <w:tr>
        <w:tblPrEx>
          <w:tblCellMar>
            <w:top w:w="0" w:type="dxa"/>
            <w:left w:w="108" w:type="dxa"/>
            <w:bottom w:w="0" w:type="dxa"/>
            <w:right w:w="108" w:type="dxa"/>
          </w:tblCellMar>
        </w:tblPrEx>
        <w:trPr>
          <w:trHeight w:val="410" w:hRule="atLeast"/>
        </w:trPr>
        <w:tc>
          <w:tcPr>
            <w:tcW w:w="600" w:type="dxa"/>
            <w:vMerge w:val="continue"/>
            <w:tcBorders>
              <w:top w:val="single" w:color="auto" w:sz="4" w:space="0"/>
              <w:left w:val="single" w:color="auto" w:sz="4" w:space="0"/>
              <w:bottom w:val="single" w:color="000000"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电池</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6V150AH/只,9只/72V(大容量铅酸胶体免维护电池）</w:t>
            </w:r>
          </w:p>
        </w:tc>
      </w:tr>
      <w:tr>
        <w:tblPrEx>
          <w:tblCellMar>
            <w:top w:w="0" w:type="dxa"/>
            <w:left w:w="108" w:type="dxa"/>
            <w:bottom w:w="0" w:type="dxa"/>
            <w:right w:w="108" w:type="dxa"/>
          </w:tblCellMar>
        </w:tblPrEx>
        <w:trPr>
          <w:trHeight w:val="415" w:hRule="atLeast"/>
        </w:trPr>
        <w:tc>
          <w:tcPr>
            <w:tcW w:w="600" w:type="dxa"/>
            <w:vMerge w:val="continue"/>
            <w:tcBorders>
              <w:top w:val="nil"/>
              <w:left w:val="single" w:color="auto" w:sz="4" w:space="0"/>
              <w:bottom w:val="single" w:color="000000"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电机</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5.0KW交流电机.牵引性能优越，过载能力强</w:t>
            </w:r>
          </w:p>
        </w:tc>
      </w:tr>
      <w:tr>
        <w:tblPrEx>
          <w:tblCellMar>
            <w:top w:w="0" w:type="dxa"/>
            <w:left w:w="108" w:type="dxa"/>
            <w:bottom w:w="0" w:type="dxa"/>
            <w:right w:w="108" w:type="dxa"/>
          </w:tblCellMar>
        </w:tblPrEx>
        <w:trPr>
          <w:trHeight w:val="363" w:hRule="atLeast"/>
        </w:trPr>
        <w:tc>
          <w:tcPr>
            <w:tcW w:w="600" w:type="dxa"/>
            <w:vMerge w:val="continue"/>
            <w:tcBorders>
              <w:top w:val="nil"/>
              <w:left w:val="single" w:color="auto" w:sz="4" w:space="0"/>
              <w:bottom w:val="single" w:color="000000"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充电机</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高频脉冲电脑控制智能化充电器，充满后自动停止，可有效延长电池使用寿命</w:t>
            </w:r>
          </w:p>
        </w:tc>
      </w:tr>
      <w:tr>
        <w:tblPrEx>
          <w:tblCellMar>
            <w:top w:w="0" w:type="dxa"/>
            <w:left w:w="108" w:type="dxa"/>
            <w:bottom w:w="0" w:type="dxa"/>
            <w:right w:w="108" w:type="dxa"/>
          </w:tblCellMar>
        </w:tblPrEx>
        <w:trPr>
          <w:trHeight w:val="404" w:hRule="atLeast"/>
        </w:trPr>
        <w:tc>
          <w:tcPr>
            <w:tcW w:w="600" w:type="dxa"/>
            <w:vMerge w:val="continue"/>
            <w:tcBorders>
              <w:top w:val="nil"/>
              <w:left w:val="single" w:color="auto" w:sz="4" w:space="0"/>
              <w:bottom w:val="single" w:color="000000"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充电时间</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8-10小时(放电率为80%)</w:t>
            </w:r>
          </w:p>
        </w:tc>
      </w:tr>
      <w:tr>
        <w:tblPrEx>
          <w:tblCellMar>
            <w:top w:w="0" w:type="dxa"/>
            <w:left w:w="108" w:type="dxa"/>
            <w:bottom w:w="0" w:type="dxa"/>
            <w:right w:w="108" w:type="dxa"/>
          </w:tblCellMar>
        </w:tblPrEx>
        <w:trPr>
          <w:trHeight w:val="345" w:hRule="atLeast"/>
        </w:trPr>
        <w:tc>
          <w:tcPr>
            <w:tcW w:w="600" w:type="dxa"/>
            <w:vMerge w:val="restart"/>
            <w:tcBorders>
              <w:top w:val="nil"/>
              <w:left w:val="single" w:color="auto" w:sz="4" w:space="0"/>
              <w:bottom w:val="single" w:color="auto" w:sz="4" w:space="0"/>
              <w:right w:val="single" w:color="auto" w:sz="4" w:space="0"/>
            </w:tcBorders>
            <w:shd w:val="clear" w:color="auto" w:fill="auto"/>
            <w:textDirection w:val="tbRlV"/>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技术参数</w:t>
            </w: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长*宽*高</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cs="仿宋"/>
                <w:color w:val="auto"/>
                <w:sz w:val="24"/>
                <w:szCs w:val="24"/>
                <w:lang w:val="en-US" w:eastAsia="zh-CN"/>
              </w:rPr>
              <w:t>长≥5100mm宽≥1560mm高≥2000mm</w:t>
            </w:r>
          </w:p>
        </w:tc>
      </w:tr>
      <w:tr>
        <w:tblPrEx>
          <w:tblCellMar>
            <w:top w:w="0" w:type="dxa"/>
            <w:left w:w="108" w:type="dxa"/>
            <w:bottom w:w="0" w:type="dxa"/>
            <w:right w:w="108" w:type="dxa"/>
          </w:tblCellMar>
        </w:tblPrEx>
        <w:trPr>
          <w:trHeight w:val="301"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充电输入电压</w:t>
            </w:r>
          </w:p>
        </w:tc>
        <w:tc>
          <w:tcPr>
            <w:tcW w:w="4051"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220V</w:t>
            </w:r>
          </w:p>
        </w:tc>
        <w:tc>
          <w:tcPr>
            <w:tcW w:w="220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制动距离</w:t>
            </w:r>
          </w:p>
        </w:tc>
        <w:tc>
          <w:tcPr>
            <w:tcW w:w="110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≤5m</w:t>
            </w:r>
          </w:p>
        </w:tc>
      </w:tr>
      <w:tr>
        <w:tblPrEx>
          <w:tblCellMar>
            <w:top w:w="0" w:type="dxa"/>
            <w:left w:w="108" w:type="dxa"/>
            <w:bottom w:w="0" w:type="dxa"/>
            <w:right w:w="108" w:type="dxa"/>
          </w:tblCellMar>
        </w:tblPrEx>
        <w:trPr>
          <w:trHeight w:val="368"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整车装备质量</w:t>
            </w:r>
          </w:p>
        </w:tc>
        <w:tc>
          <w:tcPr>
            <w:tcW w:w="4051"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cs="仿宋"/>
                <w:color w:val="auto"/>
                <w:sz w:val="24"/>
                <w:szCs w:val="24"/>
                <w:lang w:val="en-US" w:eastAsia="zh-CN"/>
              </w:rPr>
              <w:t>≥</w:t>
            </w:r>
            <w:r>
              <w:rPr>
                <w:rFonts w:hint="eastAsia" w:ascii="仿宋" w:hAnsi="仿宋" w:eastAsia="仿宋"/>
                <w:sz w:val="24"/>
                <w:szCs w:val="24"/>
                <w:lang w:val="en-US" w:eastAsia="zh-CN"/>
              </w:rPr>
              <w:t>1050kg</w:t>
            </w:r>
          </w:p>
        </w:tc>
        <w:tc>
          <w:tcPr>
            <w:tcW w:w="220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额定乘员</w:t>
            </w:r>
          </w:p>
        </w:tc>
        <w:tc>
          <w:tcPr>
            <w:tcW w:w="110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14人</w:t>
            </w:r>
          </w:p>
        </w:tc>
      </w:tr>
      <w:tr>
        <w:tblPrEx>
          <w:tblCellMar>
            <w:top w:w="0" w:type="dxa"/>
            <w:left w:w="108" w:type="dxa"/>
            <w:bottom w:w="0" w:type="dxa"/>
            <w:right w:w="108" w:type="dxa"/>
          </w:tblCellMar>
        </w:tblPrEx>
        <w:trPr>
          <w:trHeight w:val="257"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续驶里程</w:t>
            </w:r>
          </w:p>
        </w:tc>
        <w:tc>
          <w:tcPr>
            <w:tcW w:w="4051"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cs="仿宋"/>
                <w:color w:val="auto"/>
                <w:sz w:val="24"/>
                <w:szCs w:val="24"/>
                <w:lang w:val="en-US" w:eastAsia="zh-CN"/>
              </w:rPr>
              <w:t>≥</w:t>
            </w:r>
            <w:r>
              <w:rPr>
                <w:rFonts w:hint="eastAsia" w:ascii="仿宋" w:hAnsi="仿宋" w:eastAsia="仿宋"/>
                <w:sz w:val="24"/>
                <w:szCs w:val="24"/>
                <w:lang w:val="en-US" w:eastAsia="zh-CN"/>
              </w:rPr>
              <w:t>100km</w:t>
            </w:r>
          </w:p>
        </w:tc>
        <w:tc>
          <w:tcPr>
            <w:tcW w:w="220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最大行驶速度</w:t>
            </w:r>
          </w:p>
        </w:tc>
        <w:tc>
          <w:tcPr>
            <w:tcW w:w="110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30km/h</w:t>
            </w:r>
          </w:p>
        </w:tc>
      </w:tr>
      <w:tr>
        <w:tblPrEx>
          <w:tblCellMar>
            <w:top w:w="0" w:type="dxa"/>
            <w:left w:w="108" w:type="dxa"/>
            <w:bottom w:w="0" w:type="dxa"/>
            <w:right w:w="108" w:type="dxa"/>
          </w:tblCellMar>
        </w:tblPrEx>
        <w:trPr>
          <w:trHeight w:val="360" w:hRule="atLeast"/>
        </w:trPr>
        <w:tc>
          <w:tcPr>
            <w:tcW w:w="600" w:type="dxa"/>
            <w:vMerge w:val="restart"/>
            <w:tcBorders>
              <w:top w:val="nil"/>
              <w:left w:val="single" w:color="auto" w:sz="4" w:space="0"/>
              <w:bottom w:val="single" w:color="auto" w:sz="4" w:space="0"/>
              <w:right w:val="single" w:color="auto" w:sz="4" w:space="0"/>
            </w:tcBorders>
            <w:shd w:val="clear" w:color="auto" w:fill="auto"/>
            <w:textDirection w:val="tbRlV"/>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车身系统</w:t>
            </w: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座椅</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 xml:space="preserve">座椅(优质防水皮革+扶手,角调器)       </w:t>
            </w:r>
          </w:p>
        </w:tc>
      </w:tr>
      <w:tr>
        <w:tblPrEx>
          <w:tblCellMar>
            <w:top w:w="0" w:type="dxa"/>
            <w:left w:w="108" w:type="dxa"/>
            <w:bottom w:w="0" w:type="dxa"/>
            <w:right w:w="108" w:type="dxa"/>
          </w:tblCellMar>
        </w:tblPrEx>
        <w:trPr>
          <w:trHeight w:val="30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车身</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金属铁壳一体冲压</w:t>
            </w:r>
          </w:p>
        </w:tc>
      </w:tr>
      <w:tr>
        <w:tblPrEx>
          <w:tblCellMar>
            <w:top w:w="0" w:type="dxa"/>
            <w:left w:w="108" w:type="dxa"/>
            <w:bottom w:w="0" w:type="dxa"/>
            <w:right w:w="108" w:type="dxa"/>
          </w:tblCellMar>
        </w:tblPrEx>
        <w:trPr>
          <w:trHeight w:val="30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顶蓬</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采用国标钢材结构，整体经过酸洗磷化耐腐蚀处理，坚固性极佳</w:t>
            </w:r>
          </w:p>
        </w:tc>
      </w:tr>
      <w:tr>
        <w:tblPrEx>
          <w:tblCellMar>
            <w:top w:w="0" w:type="dxa"/>
            <w:left w:w="108" w:type="dxa"/>
            <w:bottom w:w="0" w:type="dxa"/>
            <w:right w:w="108" w:type="dxa"/>
          </w:tblCellMar>
        </w:tblPrEx>
        <w:trPr>
          <w:trHeight w:val="29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前挡</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汽车专用钢化玻璃，配备雨刮器</w:t>
            </w:r>
          </w:p>
        </w:tc>
      </w:tr>
      <w:tr>
        <w:tblPrEx>
          <w:tblCellMar>
            <w:top w:w="0" w:type="dxa"/>
            <w:left w:w="108" w:type="dxa"/>
            <w:bottom w:w="0" w:type="dxa"/>
            <w:right w:w="108" w:type="dxa"/>
          </w:tblCellMar>
        </w:tblPrEx>
        <w:trPr>
          <w:trHeight w:val="51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仪表台</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塑胶成型仪表台，电压表、电流表、电量表、仪表指示灯、档位开关、双闪按键、电锁开关、方向/灯光组合开关，高级汽车音响、配备USB接口、储物盒水杯座</w:t>
            </w:r>
          </w:p>
        </w:tc>
      </w:tr>
      <w:tr>
        <w:tblPrEx>
          <w:tblCellMar>
            <w:top w:w="0" w:type="dxa"/>
            <w:left w:w="108" w:type="dxa"/>
            <w:bottom w:w="0" w:type="dxa"/>
            <w:right w:w="108" w:type="dxa"/>
          </w:tblCellMar>
        </w:tblPrEx>
        <w:trPr>
          <w:trHeight w:val="315"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后视镜</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手动型外后视镜</w:t>
            </w:r>
          </w:p>
        </w:tc>
      </w:tr>
      <w:tr>
        <w:tblPrEx>
          <w:tblCellMar>
            <w:top w:w="0" w:type="dxa"/>
            <w:left w:w="108" w:type="dxa"/>
            <w:bottom w:w="0" w:type="dxa"/>
            <w:right w:w="108" w:type="dxa"/>
          </w:tblCellMar>
        </w:tblPrEx>
        <w:trPr>
          <w:trHeight w:val="35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灯光及信号</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12V-150W 组合前灯、转向灯、组合后尾灯、制动灯、电喇叭</w:t>
            </w:r>
          </w:p>
        </w:tc>
      </w:tr>
      <w:tr>
        <w:tblPrEx>
          <w:tblCellMar>
            <w:top w:w="0" w:type="dxa"/>
            <w:left w:w="108" w:type="dxa"/>
            <w:bottom w:w="0" w:type="dxa"/>
            <w:right w:w="108" w:type="dxa"/>
          </w:tblCellMar>
        </w:tblPrEx>
        <w:trPr>
          <w:trHeight w:val="42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音响</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高级汽车音响及车载MP3机、专业扬声器配备USB接口、储物盒水杯座</w:t>
            </w:r>
          </w:p>
        </w:tc>
      </w:tr>
      <w:tr>
        <w:tblPrEx>
          <w:tblCellMar>
            <w:top w:w="0" w:type="dxa"/>
            <w:left w:w="108" w:type="dxa"/>
            <w:bottom w:w="0" w:type="dxa"/>
            <w:right w:w="108" w:type="dxa"/>
          </w:tblCellMar>
        </w:tblPrEx>
        <w:trPr>
          <w:trHeight w:val="27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地板</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优质防滑地板革</w:t>
            </w:r>
          </w:p>
        </w:tc>
      </w:tr>
      <w:tr>
        <w:tblPrEx>
          <w:tblCellMar>
            <w:top w:w="0" w:type="dxa"/>
            <w:left w:w="108" w:type="dxa"/>
            <w:bottom w:w="0" w:type="dxa"/>
            <w:right w:w="108" w:type="dxa"/>
          </w:tblCellMar>
        </w:tblPrEx>
        <w:trPr>
          <w:trHeight w:val="418"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车架</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碳钢结构焊结车架(Q345)</w:t>
            </w:r>
          </w:p>
        </w:tc>
      </w:tr>
      <w:tr>
        <w:tblPrEx>
          <w:tblCellMar>
            <w:top w:w="0" w:type="dxa"/>
            <w:left w:w="108" w:type="dxa"/>
            <w:bottom w:w="0" w:type="dxa"/>
            <w:right w:w="108" w:type="dxa"/>
          </w:tblCellMar>
        </w:tblPrEx>
        <w:trPr>
          <w:trHeight w:val="339"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方向盘</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聚氨酯发泡方向盘</w:t>
            </w:r>
          </w:p>
        </w:tc>
      </w:tr>
      <w:tr>
        <w:tblPrEx>
          <w:tblCellMar>
            <w:top w:w="0" w:type="dxa"/>
            <w:left w:w="108" w:type="dxa"/>
            <w:bottom w:w="0" w:type="dxa"/>
            <w:right w:w="108" w:type="dxa"/>
          </w:tblCellMar>
        </w:tblPrEx>
        <w:trPr>
          <w:trHeight w:val="300" w:hRule="atLeast"/>
        </w:trPr>
        <w:tc>
          <w:tcPr>
            <w:tcW w:w="600" w:type="dxa"/>
            <w:vMerge w:val="restart"/>
            <w:tcBorders>
              <w:top w:val="nil"/>
              <w:left w:val="single" w:color="auto" w:sz="4" w:space="0"/>
              <w:bottom w:val="single" w:color="auto" w:sz="4" w:space="0"/>
              <w:right w:val="single" w:color="auto" w:sz="4" w:space="0"/>
            </w:tcBorders>
            <w:shd w:val="clear" w:color="auto" w:fill="auto"/>
            <w:textDirection w:val="tbRlV"/>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底盘系统</w:t>
            </w: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动力传动系统</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无极变速系统</w:t>
            </w:r>
          </w:p>
        </w:tc>
      </w:tr>
      <w:tr>
        <w:tblPrEx>
          <w:tblCellMar>
            <w:top w:w="0" w:type="dxa"/>
            <w:left w:w="108" w:type="dxa"/>
            <w:bottom w:w="0" w:type="dxa"/>
            <w:right w:w="108" w:type="dxa"/>
          </w:tblCellMar>
        </w:tblPrEx>
        <w:trPr>
          <w:trHeight w:val="42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转向系统</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齿轮齿条式方向机(自动间隙补偿功能)</w:t>
            </w:r>
          </w:p>
        </w:tc>
      </w:tr>
      <w:tr>
        <w:tblPrEx>
          <w:tblCellMar>
            <w:top w:w="0" w:type="dxa"/>
            <w:left w:w="108" w:type="dxa"/>
            <w:bottom w:w="0" w:type="dxa"/>
            <w:right w:w="108" w:type="dxa"/>
          </w:tblCellMar>
        </w:tblPrEx>
        <w:trPr>
          <w:trHeight w:val="51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底盘</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采用国标钢材，双主梁结构，具有更大承载力，整体经过酸洗磷化，电泳烤漆工艺处理，增强底盘的耐腐蚀性，平稳性/坚固性极佳</w:t>
            </w:r>
          </w:p>
        </w:tc>
      </w:tr>
      <w:tr>
        <w:tblPrEx>
          <w:tblCellMar>
            <w:top w:w="0" w:type="dxa"/>
            <w:left w:w="108" w:type="dxa"/>
            <w:bottom w:w="0" w:type="dxa"/>
            <w:right w:w="108" w:type="dxa"/>
          </w:tblCellMar>
        </w:tblPrEx>
        <w:trPr>
          <w:trHeight w:val="42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前桥</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麦弗逊式独立悬挂，螺旋弹簧+筒式液压减震</w:t>
            </w:r>
          </w:p>
        </w:tc>
      </w:tr>
      <w:tr>
        <w:tblPrEx>
          <w:tblCellMar>
            <w:top w:w="0" w:type="dxa"/>
            <w:left w:w="108" w:type="dxa"/>
            <w:bottom w:w="0" w:type="dxa"/>
            <w:right w:w="108" w:type="dxa"/>
          </w:tblCellMar>
        </w:tblPrEx>
        <w:trPr>
          <w:trHeight w:val="29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后桥</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 xml:space="preserve">整体式后桥，高猛弓子板减震 </w:t>
            </w:r>
          </w:p>
        </w:tc>
      </w:tr>
      <w:tr>
        <w:tblPrEx>
          <w:tblCellMar>
            <w:top w:w="0" w:type="dxa"/>
            <w:left w:w="108" w:type="dxa"/>
            <w:bottom w:w="0" w:type="dxa"/>
            <w:right w:w="108" w:type="dxa"/>
          </w:tblCellMar>
        </w:tblPrEx>
        <w:trPr>
          <w:trHeight w:val="39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制动系统</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前碟刹后鼓刹，制动系统并带机械驻车（手制动）安全性更强及稳定性更高</w:t>
            </w:r>
          </w:p>
        </w:tc>
      </w:tr>
      <w:tr>
        <w:tblPrEx>
          <w:tblCellMar>
            <w:top w:w="0" w:type="dxa"/>
            <w:left w:w="108" w:type="dxa"/>
            <w:bottom w:w="0" w:type="dxa"/>
            <w:right w:w="108" w:type="dxa"/>
          </w:tblCellMar>
        </w:tblPrEx>
        <w:trPr>
          <w:trHeight w:val="300" w:hRule="atLeast"/>
        </w:trPr>
        <w:tc>
          <w:tcPr>
            <w:tcW w:w="600" w:type="dxa"/>
            <w:vMerge w:val="continue"/>
            <w:tcBorders>
              <w:top w:val="nil"/>
              <w:left w:val="single" w:color="auto" w:sz="4" w:space="0"/>
              <w:bottom w:val="single" w:color="auto" w:sz="4" w:space="0"/>
              <w:right w:val="single" w:color="auto" w:sz="4" w:space="0"/>
            </w:tcBorders>
            <w:vAlign w:val="center"/>
          </w:tcPr>
          <w:p>
            <w:pPr>
              <w:spacing w:line="400" w:lineRule="exact"/>
              <w:rPr>
                <w:rFonts w:hint="eastAsia" w:ascii="仿宋" w:hAnsi="仿宋" w:eastAsia="仿宋"/>
                <w:sz w:val="24"/>
                <w:szCs w:val="24"/>
                <w:lang w:val="en-US" w:eastAsia="zh-CN"/>
              </w:rPr>
            </w:pPr>
          </w:p>
        </w:tc>
        <w:tc>
          <w:tcPr>
            <w:tcW w:w="1733" w:type="dxa"/>
            <w:tcBorders>
              <w:top w:val="nil"/>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车轮</w:t>
            </w:r>
          </w:p>
        </w:tc>
        <w:tc>
          <w:tcPr>
            <w:tcW w:w="7357" w:type="dxa"/>
            <w:gridSpan w:val="3"/>
            <w:tcBorders>
              <w:top w:val="single" w:color="auto" w:sz="4" w:space="0"/>
              <w:left w:val="nil"/>
              <w:bottom w:val="single" w:color="auto" w:sz="4" w:space="0"/>
              <w:right w:val="single" w:color="auto" w:sz="4" w:space="0"/>
            </w:tcBorders>
            <w:shd w:val="clear" w:color="auto" w:fill="auto"/>
            <w:vAlign w:val="center"/>
          </w:tcPr>
          <w:p>
            <w:pPr>
              <w:spacing w:line="40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真空轮胎</w:t>
            </w:r>
          </w:p>
        </w:tc>
      </w:tr>
      <w:bookmarkEnd w:id="45"/>
    </w:tbl>
    <w:p>
      <w:pPr>
        <w:pStyle w:val="54"/>
        <w:spacing w:after="0" w:line="500" w:lineRule="exact"/>
        <w:ind w:left="0" w:leftChars="0" w:firstLine="0" w:firstLineChars="0"/>
        <w:jc w:val="both"/>
        <w:rPr>
          <w:rFonts w:hint="eastAsia" w:ascii="仿宋" w:hAnsi="仿宋" w:eastAsia="仿宋" w:cs="仿宋"/>
          <w:color w:val="auto"/>
          <w:sz w:val="24"/>
          <w:szCs w:val="24"/>
          <w:lang w:val="en-US" w:eastAsia="zh-CN"/>
        </w:rPr>
      </w:pPr>
    </w:p>
    <w:p>
      <w:pPr>
        <w:spacing w:line="400" w:lineRule="exact"/>
        <w:rPr>
          <w:rFonts w:hint="default" w:ascii="仿宋" w:hAnsi="仿宋" w:eastAsia="仿宋"/>
          <w:sz w:val="24"/>
          <w:szCs w:val="24"/>
          <w:lang w:val="en-US" w:eastAsia="zh-CN"/>
        </w:rPr>
      </w:pPr>
      <w:r>
        <w:rPr>
          <w:rFonts w:hint="eastAsia" w:ascii="仿宋" w:hAnsi="仿宋" w:eastAsia="仿宋"/>
          <w:sz w:val="24"/>
          <w:szCs w:val="24"/>
          <w:lang w:val="en-US" w:eastAsia="zh-CN"/>
        </w:rPr>
        <w:t xml:space="preserve">   </w:t>
      </w: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w:t>
      </w:r>
      <w:r>
        <w:rPr>
          <w:rFonts w:hint="eastAsia" w:ascii="仿宋" w:hAnsi="仿宋" w:eastAsia="仿宋"/>
          <w:bCs/>
          <w:sz w:val="24"/>
          <w:szCs w:val="24"/>
          <w:lang w:val="en-US" w:eastAsia="zh-CN"/>
        </w:rPr>
        <w:t>项目一览表介绍</w:t>
      </w:r>
      <w:r>
        <w:rPr>
          <w:rFonts w:hint="eastAsia" w:ascii="仿宋" w:hAnsi="仿宋" w:eastAsia="仿宋"/>
          <w:bCs/>
          <w:sz w:val="24"/>
          <w:szCs w:val="24"/>
        </w:rPr>
        <w:t>》中所描述的信息均为采购人根据自身需求提供的参考数据，除采购人特殊要求外，参与人可根据以上信息在满足采购人要求基础上提供优化方案及所匹配产品，采购人将优先选择性价比高且符合要求的产品。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spacing w:line="1000" w:lineRule="exact"/>
        <w:jc w:val="both"/>
        <w:rPr>
          <w:rFonts w:ascii="仿宋" w:hAnsi="仿宋" w:eastAsia="仿宋"/>
          <w:b/>
          <w:sz w:val="72"/>
          <w:szCs w:val="72"/>
        </w:rPr>
      </w:pPr>
    </w:p>
    <w:p>
      <w:pPr>
        <w:spacing w:line="1000" w:lineRule="exact"/>
        <w:jc w:val="center"/>
        <w:rPr>
          <w:rFonts w:hint="eastAsia" w:ascii="仿宋" w:hAnsi="仿宋" w:eastAsia="仿宋"/>
          <w:b/>
          <w:sz w:val="72"/>
          <w:szCs w:val="72"/>
          <w:lang w:val="en-US" w:eastAsia="zh-CN"/>
        </w:rPr>
      </w:pPr>
    </w:p>
    <w:p>
      <w:pPr>
        <w:spacing w:line="1000" w:lineRule="exact"/>
        <w:jc w:val="center"/>
        <w:rPr>
          <w:rFonts w:hint="eastAsia" w:ascii="仿宋" w:hAnsi="仿宋" w:eastAsia="仿宋"/>
          <w:b/>
          <w:sz w:val="72"/>
          <w:szCs w:val="72"/>
          <w:lang w:val="en-US" w:eastAsia="zh-CN"/>
        </w:rPr>
      </w:pPr>
    </w:p>
    <w:p>
      <w:pPr>
        <w:spacing w:line="1000" w:lineRule="exact"/>
        <w:jc w:val="center"/>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val="en-US" w:eastAsia="zh-CN"/>
        </w:rPr>
        <w:t>招办电动车观光车</w:t>
      </w:r>
      <w:r>
        <w:rPr>
          <w:rFonts w:hint="eastAsia" w:ascii="仿宋" w:hAnsi="仿宋" w:eastAsia="仿宋"/>
          <w:b/>
          <w:sz w:val="44"/>
          <w:szCs w:val="44"/>
          <w:lang w:eastAsia="zh-CN"/>
        </w:rPr>
        <w:t>采购项目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both"/>
        <w:rPr>
          <w:rFonts w:ascii="仿宋" w:hAnsi="仿宋" w:eastAsia="仿宋"/>
          <w:b/>
          <w:bCs/>
          <w:sz w:val="30"/>
          <w:szCs w:val="30"/>
        </w:rPr>
      </w:pPr>
    </w:p>
    <w:p>
      <w:pPr>
        <w:jc w:val="cente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b/>
          <w:bCs/>
          <w:sz w:val="30"/>
          <w:szCs w:val="30"/>
        </w:rPr>
        <w:t>此封面应作为报价响应文件封面</w:t>
      </w:r>
    </w:p>
    <w:p>
      <w:pPr>
        <w:jc w:val="both"/>
        <w:outlineLvl w:val="1"/>
        <w:rPr>
          <w:rFonts w:hint="eastAsia" w:ascii="仿宋" w:hAnsi="仿宋" w:eastAsia="仿宋"/>
          <w:b/>
          <w:bCs/>
          <w:color w:val="auto"/>
          <w:sz w:val="24"/>
          <w:szCs w:val="24"/>
        </w:rPr>
      </w:pPr>
      <w:bookmarkStart w:id="47" w:name="_Toc182372782"/>
      <w:bookmarkStart w:id="48" w:name="_Toc180302913"/>
      <w:bookmarkStart w:id="49" w:name="_Toc177985469"/>
      <w:bookmarkStart w:id="50" w:name="_Toc169332949"/>
      <w:bookmarkStart w:id="51" w:name="_Toc181436461"/>
      <w:bookmarkStart w:id="52" w:name="_Toc170798793"/>
      <w:bookmarkStart w:id="53" w:name="_Toc182805217"/>
      <w:bookmarkStart w:id="54" w:name="_Toc192996338"/>
      <w:bookmarkStart w:id="55" w:name="_Toc169332838"/>
      <w:bookmarkStart w:id="56" w:name="_Toc225669322"/>
      <w:bookmarkStart w:id="57" w:name="_Toc232302115"/>
      <w:bookmarkStart w:id="58" w:name="_Toc191783222"/>
      <w:bookmarkStart w:id="59" w:name="_Toc213208766"/>
      <w:bookmarkStart w:id="60" w:name="_Toc213755939"/>
      <w:bookmarkStart w:id="61" w:name="_Toc235437991"/>
      <w:bookmarkStart w:id="62" w:name="_Toc235438274"/>
      <w:bookmarkStart w:id="63" w:name="_Toc193160448"/>
      <w:bookmarkStart w:id="64" w:name="_Toc191802690"/>
      <w:bookmarkStart w:id="65" w:name="_Toc160880160"/>
      <w:bookmarkStart w:id="66" w:name="_Toc235438344"/>
      <w:bookmarkStart w:id="67" w:name="_Toc236021449"/>
      <w:bookmarkStart w:id="68" w:name="_Toc192663835"/>
      <w:bookmarkStart w:id="69" w:name="_Toc191803626"/>
      <w:bookmarkStart w:id="70" w:name="_Toc219800243"/>
      <w:bookmarkStart w:id="71" w:name="_Toc181436565"/>
      <w:bookmarkStart w:id="72" w:name="_Toc230071147"/>
      <w:bookmarkStart w:id="73" w:name="_Toc203355733"/>
      <w:bookmarkStart w:id="74" w:name="_Toc217891402"/>
      <w:bookmarkStart w:id="75" w:name="_Toc213755858"/>
      <w:bookmarkStart w:id="76" w:name="_Toc213756051"/>
      <w:bookmarkStart w:id="77" w:name="_Toc192996446"/>
      <w:bookmarkStart w:id="78" w:name="_Toc193165734"/>
      <w:bookmarkStart w:id="79" w:name="_Toc191789329"/>
      <w:bookmarkStart w:id="80" w:name="_Toc192663686"/>
      <w:bookmarkStart w:id="81" w:name="_Toc227058530"/>
      <w:bookmarkStart w:id="82" w:name="_Toc213755995"/>
      <w:bookmarkStart w:id="83" w:name="_Toc211917116"/>
      <w:bookmarkStart w:id="84" w:name="_Toc192664153"/>
      <w:bookmarkStart w:id="85" w:name="_Toc160880529"/>
      <w:bookmarkStart w:id="86" w:name="_Toc223146608"/>
      <w:bookmarkStart w:id="87" w:name="_Toc255975007"/>
      <w:bookmarkStart w:id="88" w:name="_Toc259520865"/>
      <w:bookmarkStart w:id="89" w:name="_Toc267060453"/>
      <w:bookmarkStart w:id="90" w:name="_Toc267059919"/>
      <w:bookmarkStart w:id="91" w:name="_Toc267060068"/>
      <w:bookmarkStart w:id="92" w:name="_Toc266870833"/>
      <w:bookmarkStart w:id="93" w:name="_Toc273178698"/>
      <w:bookmarkStart w:id="94" w:name="_Toc267059806"/>
      <w:bookmarkStart w:id="95" w:name="_Toc267060208"/>
      <w:bookmarkStart w:id="96" w:name="_Toc251613829"/>
      <w:bookmarkStart w:id="97" w:name="_Toc266870907"/>
      <w:bookmarkStart w:id="98" w:name="_Toc267059030"/>
      <w:bookmarkStart w:id="99" w:name="_Toc254790899"/>
      <w:bookmarkStart w:id="100" w:name="_Toc259692647"/>
      <w:bookmarkStart w:id="101" w:name="_Toc267059181"/>
      <w:bookmarkStart w:id="102" w:name="_Toc266868670"/>
      <w:bookmarkStart w:id="103" w:name="_Toc258401256"/>
      <w:bookmarkStart w:id="104" w:name="_Toc266868937"/>
      <w:bookmarkStart w:id="105" w:name="_Toc266870432"/>
      <w:bookmarkStart w:id="106" w:name="_Toc249325711"/>
      <w:bookmarkStart w:id="107" w:name="_Toc251586231"/>
      <w:bookmarkStart w:id="108" w:name="_Toc267059653"/>
      <w:bookmarkStart w:id="109" w:name="_Toc267060321"/>
      <w:bookmarkStart w:id="110" w:name="_Toc267059539"/>
      <w:bookmarkStart w:id="111" w:name="_Toc253066614"/>
      <w:bookmarkStart w:id="112" w:name="_Toc259692740"/>
    </w:p>
    <w:p>
      <w:pPr>
        <w:jc w:val="center"/>
        <w:outlineLvl w:val="1"/>
        <w:rPr>
          <w:rFonts w:hint="eastAsia" w:ascii="仿宋" w:hAnsi="仿宋" w:eastAsia="仿宋"/>
          <w:b/>
          <w:bCs/>
          <w:color w:val="auto"/>
          <w:sz w:val="24"/>
          <w:szCs w:val="24"/>
        </w:rPr>
      </w:pPr>
    </w:p>
    <w:p>
      <w:pPr>
        <w:jc w:val="center"/>
        <w:outlineLvl w:val="1"/>
        <w:rPr>
          <w:rFonts w:ascii="仿宋" w:hAnsi="仿宋" w:eastAsia="仿宋"/>
          <w:b/>
          <w:bCs/>
          <w:color w:val="auto"/>
          <w:sz w:val="24"/>
          <w:szCs w:val="24"/>
        </w:rPr>
      </w:pPr>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w:t>
      </w:r>
      <w:r>
        <w:rPr>
          <w:rFonts w:hint="eastAsia" w:ascii="仿宋" w:hAnsi="仿宋" w:eastAsia="仿宋"/>
          <w:sz w:val="24"/>
          <w:szCs w:val="24"/>
        </w:rPr>
        <w:t>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sz w:val="24"/>
          <w:szCs w:val="24"/>
        </w:rPr>
        <w:t>2.同</w:t>
      </w:r>
      <w:r>
        <w:rPr>
          <w:rFonts w:hint="eastAsia" w:ascii="仿宋" w:hAnsi="仿宋" w:eastAsia="仿宋"/>
          <w:color w:val="auto"/>
          <w:sz w:val="24"/>
          <w:szCs w:val="24"/>
        </w:rPr>
        <w:t>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6"/>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hint="eastAsia" w:ascii="仿宋" w:hAnsi="仿宋" w:eastAsia="仿宋"/>
          <w:sz w:val="24"/>
          <w:szCs w:val="24"/>
        </w:rPr>
      </w:pPr>
      <w:r>
        <w:rPr>
          <w:rFonts w:hint="eastAsia" w:ascii="仿宋" w:hAnsi="仿宋" w:eastAsia="仿宋"/>
          <w:sz w:val="24"/>
          <w:szCs w:val="24"/>
        </w:rPr>
        <w:t>货币单位：</w:t>
      </w:r>
    </w:p>
    <w:p>
      <w:pPr>
        <w:spacing w:line="380" w:lineRule="exact"/>
        <w:ind w:left="147" w:leftChars="67"/>
        <w:rPr>
          <w:rFonts w:hint="eastAsia" w:ascii="仿宋" w:hAnsi="仿宋" w:eastAsia="仿宋"/>
          <w:sz w:val="24"/>
          <w:szCs w:val="24"/>
        </w:rPr>
      </w:pPr>
    </w:p>
    <w:tbl>
      <w:tblPr>
        <w:tblStyle w:val="23"/>
        <w:tblW w:w="9402" w:type="dxa"/>
        <w:tblInd w:w="-5" w:type="dxa"/>
        <w:tblLayout w:type="fixed"/>
        <w:tblCellMar>
          <w:top w:w="0" w:type="dxa"/>
          <w:left w:w="108" w:type="dxa"/>
          <w:bottom w:w="0" w:type="dxa"/>
          <w:right w:w="108" w:type="dxa"/>
        </w:tblCellMar>
      </w:tblPr>
      <w:tblGrid>
        <w:gridCol w:w="643"/>
        <w:gridCol w:w="1319"/>
        <w:gridCol w:w="2931"/>
        <w:gridCol w:w="797"/>
        <w:gridCol w:w="990"/>
        <w:gridCol w:w="990"/>
        <w:gridCol w:w="1057"/>
        <w:gridCol w:w="675"/>
      </w:tblGrid>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序号</w:t>
            </w:r>
          </w:p>
        </w:tc>
        <w:tc>
          <w:tcPr>
            <w:tcW w:w="1319"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物品名称</w:t>
            </w:r>
          </w:p>
        </w:tc>
        <w:tc>
          <w:tcPr>
            <w:tcW w:w="2931"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规格型号（技术参数）</w:t>
            </w:r>
          </w:p>
        </w:tc>
        <w:tc>
          <w:tcPr>
            <w:tcW w:w="797"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单位</w:t>
            </w:r>
          </w:p>
        </w:tc>
        <w:tc>
          <w:tcPr>
            <w:tcW w:w="99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数量</w:t>
            </w:r>
          </w:p>
        </w:tc>
        <w:tc>
          <w:tcPr>
            <w:tcW w:w="99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单价（元）</w:t>
            </w:r>
          </w:p>
        </w:tc>
        <w:tc>
          <w:tcPr>
            <w:tcW w:w="1057"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总价（元）</w:t>
            </w:r>
          </w:p>
        </w:tc>
        <w:tc>
          <w:tcPr>
            <w:tcW w:w="67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eastAsia="zh-CN"/>
              </w:rPr>
            </w:pPr>
            <w:r>
              <w:rPr>
                <w:rFonts w:hint="eastAsia" w:ascii="仿宋" w:hAnsi="仿宋" w:eastAsia="仿宋" w:cs="Tahoma"/>
                <w:b/>
                <w:bCs/>
                <w:color w:val="000000"/>
                <w:sz w:val="20"/>
                <w:szCs w:val="20"/>
                <w:highlight w:val="none"/>
                <w:lang w:eastAsia="zh-CN"/>
              </w:rPr>
              <w:t>产品照片</w:t>
            </w:r>
          </w:p>
        </w:tc>
      </w:tr>
      <w:tr>
        <w:tblPrEx>
          <w:tblCellMar>
            <w:top w:w="0" w:type="dxa"/>
            <w:left w:w="108" w:type="dxa"/>
            <w:bottom w:w="0" w:type="dxa"/>
            <w:right w:w="108" w:type="dxa"/>
          </w:tblCellMar>
        </w:tblPrEx>
        <w:trPr>
          <w:trHeight w:val="2285"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highlight w:val="none"/>
              </w:rPr>
              <w:t>1</w:t>
            </w:r>
          </w:p>
        </w:tc>
        <w:tc>
          <w:tcPr>
            <w:tcW w:w="131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val="en-US" w:eastAsia="zh-CN"/>
              </w:rPr>
            </w:pPr>
            <w:r>
              <w:rPr>
                <w:rFonts w:hint="eastAsia" w:ascii="仿宋" w:hAnsi="仿宋" w:eastAsia="仿宋"/>
                <w:b w:val="0"/>
                <w:bCs w:val="0"/>
                <w:sz w:val="21"/>
                <w:szCs w:val="21"/>
                <w:lang w:val="en-US" w:eastAsia="zh-CN"/>
              </w:rPr>
              <w:t>14座半封闭电动观光车</w:t>
            </w:r>
          </w:p>
        </w:tc>
        <w:tc>
          <w:tcPr>
            <w:tcW w:w="2931" w:type="dxa"/>
            <w:tcBorders>
              <w:top w:val="nil"/>
              <w:left w:val="nil"/>
              <w:bottom w:val="single" w:color="auto" w:sz="4" w:space="0"/>
              <w:right w:val="single" w:color="auto" w:sz="4" w:space="0"/>
            </w:tcBorders>
            <w:shd w:val="clear" w:color="000000" w:fill="FFFFFF"/>
            <w:vAlign w:val="center"/>
          </w:tcPr>
          <w:p>
            <w:pPr>
              <w:numPr>
                <w:ilvl w:val="0"/>
                <w:numId w:val="0"/>
              </w:numPr>
              <w:ind w:left="0" w:leftChars="0" w:firstLine="0" w:firstLineChars="0"/>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需提供详细配置参数</w:t>
            </w:r>
          </w:p>
        </w:tc>
        <w:tc>
          <w:tcPr>
            <w:tcW w:w="797" w:type="dxa"/>
            <w:tcBorders>
              <w:top w:val="nil"/>
              <w:left w:val="nil"/>
              <w:bottom w:val="single" w:color="auto" w:sz="4" w:space="0"/>
              <w:right w:val="single" w:color="auto" w:sz="4" w:space="0"/>
            </w:tcBorders>
            <w:vAlign w:val="center"/>
          </w:tcPr>
          <w:p>
            <w:pPr>
              <w:jc w:val="center"/>
              <w:rPr>
                <w:rFonts w:hint="eastAsia" w:ascii="仿宋" w:hAnsi="仿宋" w:eastAsia="仿宋" w:cs="Tahoma"/>
                <w:color w:val="000000"/>
                <w:sz w:val="20"/>
                <w:szCs w:val="20"/>
                <w:lang w:eastAsia="zh-CN"/>
              </w:rPr>
            </w:pPr>
            <w:r>
              <w:rPr>
                <w:rFonts w:hint="eastAsia" w:ascii="仿宋" w:hAnsi="仿宋" w:eastAsia="仿宋" w:cs="Tahoma"/>
                <w:color w:val="000000"/>
                <w:sz w:val="20"/>
                <w:szCs w:val="20"/>
                <w:lang w:eastAsia="zh-CN"/>
              </w:rPr>
              <w:t>辆</w:t>
            </w:r>
          </w:p>
        </w:tc>
        <w:tc>
          <w:tcPr>
            <w:tcW w:w="990" w:type="dxa"/>
            <w:tcBorders>
              <w:top w:val="nil"/>
              <w:left w:val="nil"/>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2</w:t>
            </w:r>
          </w:p>
        </w:tc>
        <w:tc>
          <w:tcPr>
            <w:tcW w:w="990"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57"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75" w:type="dxa"/>
            <w:tcBorders>
              <w:top w:val="nil"/>
              <w:left w:val="nil"/>
              <w:bottom w:val="single" w:color="auto" w:sz="4" w:space="0"/>
              <w:right w:val="single" w:color="auto" w:sz="4" w:space="0"/>
            </w:tcBorders>
            <w:vAlign w:val="center"/>
          </w:tcPr>
          <w:p>
            <w:pPr>
              <w:jc w:val="center"/>
              <w:rPr>
                <w:rFonts w:hint="eastAsia" w:ascii="仿宋" w:hAnsi="仿宋" w:eastAsia="仿宋" w:cs="Tahoma"/>
                <w:color w:val="000000"/>
                <w:sz w:val="20"/>
                <w:szCs w:val="20"/>
                <w:lang w:eastAsia="zh-CN"/>
              </w:rPr>
            </w:pPr>
            <w:r>
              <w:rPr>
                <w:rFonts w:hint="eastAsia" w:ascii="仿宋" w:hAnsi="仿宋" w:eastAsia="仿宋" w:cs="Tahoma"/>
                <w:color w:val="000000"/>
                <w:sz w:val="20"/>
                <w:szCs w:val="20"/>
                <w:lang w:eastAsia="zh-CN"/>
              </w:rPr>
              <w:t>需提供产品图片</w:t>
            </w:r>
          </w:p>
        </w:tc>
      </w:tr>
    </w:tbl>
    <w:p>
      <w:pPr>
        <w:spacing w:line="380" w:lineRule="exact"/>
        <w:ind w:left="147" w:leftChars="67"/>
        <w:rPr>
          <w:rFonts w:ascii="仿宋" w:hAnsi="仿宋" w:eastAsia="仿宋"/>
          <w:sz w:val="24"/>
          <w:szCs w:val="24"/>
        </w:rPr>
      </w:pPr>
    </w:p>
    <w:p>
      <w:pPr>
        <w:spacing w:line="380" w:lineRule="exact"/>
        <w:rPr>
          <w:rFonts w:hint="eastAsia" w:ascii="仿宋" w:hAnsi="仿宋" w:eastAsia="仿宋"/>
          <w:sz w:val="24"/>
          <w:szCs w:val="24"/>
          <w:lang w:eastAsia="zh-CN"/>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line="380" w:lineRule="exact"/>
        <w:ind w:left="147" w:leftChars="67" w:firstLine="480" w:firstLineChars="200"/>
        <w:rPr>
          <w:rFonts w:hint="eastAsia" w:ascii="仿宋" w:hAnsi="仿宋" w:eastAsia="仿宋"/>
          <w:sz w:val="24"/>
          <w:szCs w:val="24"/>
          <w:lang w:val="zh-CN"/>
        </w:rPr>
      </w:pPr>
      <w:r>
        <w:rPr>
          <w:rFonts w:hint="eastAsia" w:ascii="仿宋" w:hAnsi="仿宋" w:eastAsia="仿宋"/>
          <w:sz w:val="24"/>
          <w:szCs w:val="24"/>
          <w:lang w:val="en-US" w:eastAsia="zh-CN"/>
        </w:rPr>
        <w:t>4.以上报价含税、含运费等交付校方前所有费用。</w:t>
      </w:r>
    </w:p>
    <w:p>
      <w:pPr>
        <w:spacing w:line="380" w:lineRule="exact"/>
        <w:ind w:left="147" w:leftChars="67" w:firstLine="480" w:firstLineChars="200"/>
        <w:rPr>
          <w:rFonts w:ascii="仿宋" w:hAnsi="仿宋" w:eastAsia="仿宋"/>
          <w:sz w:val="24"/>
          <w:szCs w:val="24"/>
        </w:rPr>
      </w:pP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66870839"/>
      <w:bookmarkStart w:id="114" w:name="_Toc267059924"/>
      <w:bookmarkStart w:id="115" w:name="_Toc169332843"/>
      <w:bookmarkStart w:id="116" w:name="_Toc267059035"/>
      <w:bookmarkStart w:id="117" w:name="_Toc266870441"/>
      <w:bookmarkStart w:id="118" w:name="_Toc182372787"/>
      <w:bookmarkStart w:id="119" w:name="_Toc251613839"/>
      <w:bookmarkStart w:id="120" w:name="_Toc267059186"/>
      <w:bookmarkStart w:id="121" w:name="_Toc169332954"/>
      <w:bookmarkStart w:id="122" w:name="_Toc170798798"/>
      <w:bookmarkStart w:id="123" w:name="_Toc266868943"/>
      <w:bookmarkStart w:id="124" w:name="_Toc267060076"/>
      <w:bookmarkStart w:id="125" w:name="_Toc254790909"/>
      <w:bookmarkStart w:id="126" w:name="_Toc267059658"/>
      <w:bookmarkStart w:id="127" w:name="_Toc267060216"/>
      <w:bookmarkStart w:id="128" w:name="_Toc267060461"/>
      <w:bookmarkStart w:id="129" w:name="_Toc160880534"/>
      <w:bookmarkStart w:id="130" w:name="_Toc267059544"/>
      <w:bookmarkStart w:id="131" w:name="_Toc267059811"/>
      <w:bookmarkStart w:id="132" w:name="_Toc180302918"/>
      <w:bookmarkStart w:id="133" w:name="_Toc181436466"/>
      <w:bookmarkStart w:id="134" w:name="_Toc182805222"/>
      <w:bookmarkStart w:id="135" w:name="_Toc259692749"/>
      <w:bookmarkStart w:id="136" w:name="_Toc258401265"/>
      <w:bookmarkStart w:id="137" w:name="_Toc266870916"/>
      <w:bookmarkStart w:id="138" w:name="_Toc251586241"/>
      <w:bookmarkStart w:id="139" w:name="_Toc267060326"/>
      <w:bookmarkStart w:id="140" w:name="_Toc259692656"/>
      <w:bookmarkStart w:id="141" w:name="_Toc177985474"/>
      <w:bookmarkStart w:id="142" w:name="_Toc223146614"/>
      <w:bookmarkStart w:id="143" w:name="_Toc181436570"/>
      <w:bookmarkStart w:id="144" w:name="_Toc266868679"/>
      <w:bookmarkStart w:id="145" w:name="_Toc259520874"/>
      <w:bookmarkStart w:id="146" w:name="_Toc273178703"/>
      <w:bookmarkStart w:id="147" w:name="_Toc255975016"/>
      <w:bookmarkStart w:id="148" w:name="_Toc193165739"/>
      <w:bookmarkStart w:id="149" w:name="_Toc193160453"/>
      <w:bookmarkStart w:id="150" w:name="_Toc235438281"/>
      <w:bookmarkStart w:id="151" w:name="_Toc203355738"/>
      <w:bookmarkStart w:id="152" w:name="_Toc253066624"/>
      <w:bookmarkStart w:id="153" w:name="_Toc230071153"/>
      <w:bookmarkStart w:id="154" w:name="_Toc192664158"/>
      <w:bookmarkStart w:id="155" w:name="_Toc227058536"/>
      <w:bookmarkStart w:id="156" w:name="_Toc236021457"/>
      <w:bookmarkStart w:id="157" w:name="_Toc192996343"/>
      <w:bookmarkStart w:id="158" w:name="_Toc211917121"/>
      <w:bookmarkStart w:id="159" w:name="_Toc192663691"/>
      <w:bookmarkStart w:id="160" w:name="_Toc192996451"/>
      <w:bookmarkStart w:id="161" w:name="_Toc191803631"/>
      <w:bookmarkStart w:id="162" w:name="_Toc191802695"/>
      <w:bookmarkStart w:id="163" w:name="_Toc219800249"/>
      <w:bookmarkStart w:id="164" w:name="_Toc213756057"/>
      <w:bookmarkStart w:id="165" w:name="_Toc249325720"/>
      <w:bookmarkStart w:id="166" w:name="_Toc192663840"/>
      <w:bookmarkStart w:id="167" w:name="_Toc191789334"/>
      <w:bookmarkStart w:id="168" w:name="_Toc191783227"/>
      <w:bookmarkStart w:id="169" w:name="_Toc235438352"/>
      <w:bookmarkStart w:id="170" w:name="_Toc213755864"/>
      <w:bookmarkStart w:id="171" w:name="_Toc160880165"/>
      <w:bookmarkStart w:id="172" w:name="_Toc217891408"/>
      <w:bookmarkStart w:id="173" w:name="_Toc213755945"/>
      <w:bookmarkStart w:id="174" w:name="_Toc213756001"/>
      <w:bookmarkStart w:id="175" w:name="_Toc235437998"/>
      <w:bookmarkStart w:id="176" w:name="_Toc232302122"/>
      <w:bookmarkStart w:id="177" w:name="_Toc225669328"/>
      <w:bookmarkStart w:id="178" w:name="_Toc213208771"/>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eastAsia" w:ascii="仿宋" w:hAnsi="仿宋" w:eastAsia="仿宋"/>
          <w:b/>
          <w:bCs/>
          <w:sz w:val="24"/>
          <w:szCs w:val="24"/>
        </w:rPr>
      </w:pPr>
      <w:r>
        <w:rPr>
          <w:rFonts w:hint="eastAsia" w:ascii="仿宋" w:hAnsi="仿宋" w:eastAsia="仿宋"/>
          <w:b/>
          <w:bCs/>
          <w:sz w:val="24"/>
          <w:szCs w:val="24"/>
        </w:rPr>
        <w:t>3、参与人的资格证明文件</w:t>
      </w:r>
    </w:p>
    <w:p>
      <w:pPr>
        <w:jc w:val="center"/>
        <w:outlineLvl w:val="1"/>
        <w:rPr>
          <w:rFonts w:hint="eastAsia" w:ascii="仿宋" w:hAnsi="仿宋" w:eastAsia="仿宋"/>
          <w:b/>
          <w:bCs/>
          <w:sz w:val="24"/>
          <w:szCs w:val="24"/>
        </w:rPr>
      </w:pPr>
    </w:p>
    <w:p>
      <w:pPr>
        <w:jc w:val="center"/>
        <w:outlineLvl w:val="1"/>
        <w:rPr>
          <w:rFonts w:hint="eastAsia" w:ascii="仿宋" w:hAnsi="仿宋" w:eastAsia="仿宋" w:cs="仿宋"/>
          <w:b/>
          <w:color w:val="auto"/>
          <w:sz w:val="24"/>
          <w:szCs w:val="24"/>
        </w:rPr>
      </w:pPr>
      <w:bookmarkStart w:id="179" w:name="_Toc251613840"/>
      <w:bookmarkStart w:id="180" w:name="_Toc217891409"/>
      <w:bookmarkStart w:id="181" w:name="_Toc266868680"/>
      <w:bookmarkStart w:id="182" w:name="_Toc235438353"/>
      <w:bookmarkStart w:id="183" w:name="_Toc267060217"/>
      <w:bookmarkStart w:id="184" w:name="_Toc232302123"/>
      <w:bookmarkStart w:id="185" w:name="_Toc259520875"/>
      <w:bookmarkStart w:id="186" w:name="_Toc251586242"/>
      <w:bookmarkStart w:id="187" w:name="_Toc254790910"/>
      <w:bookmarkStart w:id="188" w:name="_Toc235437999"/>
      <w:bookmarkStart w:id="189" w:name="_Toc267060077"/>
      <w:bookmarkStart w:id="190" w:name="_Toc253066625"/>
      <w:bookmarkStart w:id="191" w:name="_Toc266870442"/>
      <w:bookmarkStart w:id="192" w:name="_Toc249325721"/>
      <w:bookmarkStart w:id="193" w:name="_Toc259692750"/>
      <w:bookmarkStart w:id="194" w:name="_Toc259692657"/>
      <w:bookmarkStart w:id="195" w:name="_Toc213756058"/>
      <w:bookmarkStart w:id="196" w:name="_Toc255975017"/>
      <w:bookmarkStart w:id="197" w:name="_Toc235438282"/>
      <w:bookmarkStart w:id="198" w:name="_Toc225669329"/>
      <w:bookmarkStart w:id="199" w:name="_Toc236021458"/>
      <w:bookmarkStart w:id="200" w:name="_Toc219800250"/>
      <w:bookmarkStart w:id="201" w:name="_Toc258401266"/>
      <w:bookmarkStart w:id="202" w:name="_Toc230071154"/>
      <w:bookmarkStart w:id="203" w:name="_Toc227058537"/>
      <w:bookmarkStart w:id="204" w:name="_Toc267060462"/>
      <w:bookmarkStart w:id="205" w:name="_Toc223146615"/>
      <w:bookmarkStart w:id="206" w:name="_Toc266870917"/>
      <w:r>
        <w:rPr>
          <w:rFonts w:hint="eastAsia" w:ascii="仿宋" w:hAnsi="仿宋" w:eastAsia="仿宋" w:cs="仿宋"/>
          <w:b/>
          <w:bCs/>
          <w:sz w:val="24"/>
          <w:szCs w:val="24"/>
        </w:rPr>
        <w:t>3-1关于资格的声明函</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pPr>
        <w:spacing w:after="0" w:line="500" w:lineRule="exact"/>
        <w:rPr>
          <w:rFonts w:hint="eastAsia" w:ascii="仿宋" w:hAnsi="仿宋" w:eastAsia="仿宋" w:cs="仿宋"/>
          <w:color w:val="auto"/>
          <w:sz w:val="24"/>
          <w:szCs w:val="24"/>
        </w:rPr>
      </w:pPr>
      <w:bookmarkStart w:id="207"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207"/>
    </w:p>
    <w:p>
      <w:pPr>
        <w:spacing w:after="0"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关于贵方</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日</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（项目编号）公开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邀请，本签字人愿意参加本次报价，提供公开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文件中规定的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货物，并证明提交的下列文件和说明是准确的和真实的。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1．本签字人确认资格文件中的说明以及公开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文件中所有提交的文件和材料是真实的、准确的。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2．我方的资格声明正本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份，副本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份，随报价响应文件一同递交。</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地          址：</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编：</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话或传  真：</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参与人授权代表：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bookmarkStart w:id="208" w:name="_Toc225669330"/>
      <w:bookmarkStart w:id="209" w:name="_Toc251586243"/>
      <w:bookmarkStart w:id="210" w:name="_Toc217891410"/>
      <w:bookmarkStart w:id="211" w:name="_Toc223146616"/>
      <w:bookmarkStart w:id="212" w:name="_Toc235438000"/>
      <w:bookmarkStart w:id="213" w:name="_Toc236021459"/>
      <w:bookmarkStart w:id="214" w:name="_Toc266868681"/>
      <w:bookmarkStart w:id="215" w:name="_Toc230071155"/>
      <w:bookmarkStart w:id="216" w:name="_Toc232302124"/>
      <w:bookmarkStart w:id="217" w:name="_Toc259692751"/>
      <w:bookmarkStart w:id="218" w:name="_Toc259520876"/>
      <w:bookmarkStart w:id="219" w:name="_Toc258401267"/>
      <w:bookmarkStart w:id="220" w:name="_Toc255975018"/>
      <w:bookmarkStart w:id="221" w:name="_Toc254790911"/>
      <w:bookmarkStart w:id="222" w:name="_Toc249325722"/>
      <w:bookmarkStart w:id="223" w:name="_Toc259692658"/>
      <w:bookmarkStart w:id="224" w:name="_Toc251613841"/>
      <w:bookmarkStart w:id="225" w:name="_Toc235438283"/>
      <w:bookmarkStart w:id="226" w:name="_Toc227058538"/>
      <w:bookmarkStart w:id="227" w:name="_Toc253066626"/>
      <w:bookmarkStart w:id="228" w:name="_Toc235438354"/>
      <w:bookmarkStart w:id="229" w:name="_Toc266870918"/>
      <w:bookmarkStart w:id="230" w:name="_Toc219800251"/>
      <w:bookmarkStart w:id="231" w:name="_Toc213756059"/>
      <w:bookmarkStart w:id="232" w:name="_Toc266870443"/>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pPr>
        <w:jc w:val="center"/>
        <w:outlineLvl w:val="1"/>
        <w:rPr>
          <w:rFonts w:hint="eastAsia" w:ascii="仿宋" w:hAnsi="仿宋" w:eastAsia="仿宋" w:cs="仿宋"/>
          <w:b/>
          <w:color w:val="auto"/>
          <w:sz w:val="24"/>
          <w:szCs w:val="24"/>
        </w:rPr>
      </w:pPr>
    </w:p>
    <w:p>
      <w:pPr>
        <w:spacing w:after="0" w:line="380" w:lineRule="exact"/>
        <w:jc w:val="center"/>
        <w:rPr>
          <w:rFonts w:hint="eastAsia" w:ascii="仿宋" w:hAnsi="仿宋" w:eastAsia="仿宋" w:cs="仿宋"/>
          <w:b/>
          <w:color w:val="auto"/>
          <w:sz w:val="24"/>
          <w:szCs w:val="24"/>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-2法定代表人授权书</w:t>
      </w:r>
      <w:r>
        <w:rPr>
          <w:rFonts w:hint="eastAsia" w:ascii="仿宋" w:hAnsi="仿宋" w:eastAsia="仿宋" w:cs="仿宋"/>
          <w:b/>
          <w:bCs/>
          <w:sz w:val="24"/>
          <w:szCs w:val="24"/>
        </w:rPr>
        <w:cr/>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u w:val="single"/>
          <w:lang w:val="zh-CN"/>
        </w:rPr>
        <w:t>（参与人全称）</w:t>
      </w:r>
      <w:r>
        <w:rPr>
          <w:rFonts w:hint="eastAsia" w:ascii="仿宋" w:hAnsi="仿宋" w:eastAsia="仿宋" w:cs="仿宋"/>
          <w:color w:val="auto"/>
          <w:sz w:val="24"/>
          <w:szCs w:val="24"/>
          <w:lang w:val="zh-CN"/>
        </w:rPr>
        <w:t>法定代表人</w:t>
      </w:r>
      <w:r>
        <w:rPr>
          <w:rFonts w:hint="eastAsia" w:ascii="仿宋" w:hAnsi="仿宋" w:eastAsia="仿宋" w:cs="仿宋"/>
          <w:color w:val="auto"/>
          <w:sz w:val="24"/>
          <w:szCs w:val="24"/>
          <w:u w:val="single"/>
        </w:rPr>
        <w:t xml:space="preserve"> （姓名）、</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u w:val="single"/>
        </w:rPr>
        <w:t xml:space="preserve">  （身份证号）  </w:t>
      </w:r>
      <w:r>
        <w:rPr>
          <w:rFonts w:hint="eastAsia" w:ascii="仿宋" w:hAnsi="仿宋" w:eastAsia="仿宋" w:cs="仿宋"/>
          <w:color w:val="auto"/>
          <w:sz w:val="24"/>
          <w:szCs w:val="24"/>
          <w:lang w:val="zh-CN"/>
        </w:rPr>
        <w:t>授权</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zh-CN"/>
        </w:rPr>
        <w:t>（报价授权代表姓名）</w:t>
      </w:r>
      <w:r>
        <w:rPr>
          <w:rFonts w:hint="eastAsia" w:ascii="仿宋" w:hAnsi="仿宋" w:eastAsia="仿宋" w:cs="仿宋"/>
          <w:color w:val="auto"/>
          <w:sz w:val="24"/>
          <w:szCs w:val="24"/>
          <w:lang w:val="zh-CN"/>
        </w:rPr>
        <w:t>为参与人代表，代表本公司参加贵司组织的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项目（项目编号</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lang w:val="zh-CN"/>
        </w:rPr>
        <w:t>本授权书自出具之日起生效。</w:t>
      </w:r>
    </w:p>
    <w:p>
      <w:pPr>
        <w:autoSpaceDE w:val="0"/>
        <w:autoSpaceDN w:val="0"/>
        <w:adjustRightInd w:val="0"/>
        <w:spacing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法定代表人签字：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参与人(公章)：</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日  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附:</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报价授权委托人姓名：（签字）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职        务：</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详细通讯地址：</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政 编 码 ：</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传        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w:t>
      </w:r>
    </w:p>
    <w:p>
      <w:pPr>
        <w:spacing w:after="0" w:line="500" w:lineRule="exact"/>
        <w:jc w:val="left"/>
        <w:outlineLvl w:val="1"/>
        <w:rPr>
          <w:rFonts w:hint="eastAsia" w:ascii="仿宋" w:hAnsi="仿宋" w:eastAsia="仿宋" w:cs="仿宋"/>
          <w:b/>
          <w:bCs/>
          <w:color w:val="auto"/>
          <w:sz w:val="24"/>
          <w:szCs w:val="24"/>
        </w:rPr>
      </w:pPr>
      <w:r>
        <w:rPr>
          <w:rFonts w:hint="eastAsia" w:ascii="仿宋" w:hAnsi="仿宋" w:eastAsia="仿宋" w:cs="仿宋"/>
          <w:b/>
          <w:color w:val="auto"/>
          <w:sz w:val="24"/>
          <w:szCs w:val="24"/>
          <w:lang w:val="zh-CN"/>
        </w:rPr>
        <w:t>附：被授权人身份证件</w:t>
      </w:r>
    </w:p>
    <w:p>
      <w:pPr>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p>
    <w:p>
      <w:pPr>
        <w:jc w:val="center"/>
        <w:outlineLvl w:val="1"/>
        <w:rPr>
          <w:rFonts w:hint="eastAsia" w:ascii="仿宋" w:hAnsi="仿宋" w:eastAsia="仿宋" w:cs="仿宋"/>
          <w:b/>
          <w:color w:val="auto"/>
          <w:sz w:val="24"/>
          <w:szCs w:val="24"/>
          <w:lang w:val="en-US" w:eastAsia="zh-CN"/>
        </w:rPr>
      </w:pPr>
    </w:p>
    <w:p>
      <w:pPr>
        <w:jc w:val="center"/>
        <w:outlineLvl w:val="1"/>
        <w:rPr>
          <w:rFonts w:hint="eastAsia" w:ascii="仿宋" w:hAnsi="仿宋" w:eastAsia="仿宋" w:cs="仿宋"/>
          <w:b/>
          <w:color w:val="auto"/>
          <w:sz w:val="24"/>
          <w:szCs w:val="24"/>
        </w:rPr>
      </w:pPr>
      <w:r>
        <w:rPr>
          <w:rFonts w:hint="eastAsia" w:ascii="仿宋" w:hAnsi="仿宋" w:eastAsia="仿宋" w:cs="仿宋"/>
          <w:b/>
          <w:color w:val="auto"/>
          <w:sz w:val="24"/>
          <w:szCs w:val="24"/>
          <w:lang w:val="en-US" w:eastAsia="zh-CN"/>
        </w:rPr>
        <w:t>3</w:t>
      </w:r>
      <w:r>
        <w:rPr>
          <w:rFonts w:hint="eastAsia" w:ascii="仿宋" w:hAnsi="仿宋" w:eastAsia="仿宋" w:cs="仿宋"/>
          <w:b/>
          <w:color w:val="auto"/>
          <w:sz w:val="24"/>
          <w:szCs w:val="24"/>
        </w:rPr>
        <w:t>-</w:t>
      </w:r>
      <w:r>
        <w:rPr>
          <w:rFonts w:hint="eastAsia" w:ascii="仿宋" w:hAnsi="仿宋" w:eastAsia="仿宋" w:cs="仿宋"/>
          <w:b/>
          <w:bCs/>
          <w:color w:val="auto"/>
          <w:sz w:val="24"/>
          <w:szCs w:val="24"/>
        </w:rPr>
        <w:t>3企业</w:t>
      </w:r>
      <w:r>
        <w:rPr>
          <w:rFonts w:hint="eastAsia" w:ascii="仿宋" w:hAnsi="仿宋" w:eastAsia="仿宋" w:cs="仿宋"/>
          <w:b/>
          <w:color w:val="auto"/>
          <w:sz w:val="24"/>
          <w:szCs w:val="24"/>
        </w:rPr>
        <w:t>法人营业执照（复印件）</w:t>
      </w:r>
    </w:p>
    <w:p>
      <w:pPr>
        <w:jc w:val="center"/>
        <w:outlineLvl w:val="1"/>
        <w:rPr>
          <w:rFonts w:hint="eastAsia" w:ascii="仿宋" w:hAnsi="仿宋" w:eastAsia="仿宋" w:cs="仿宋"/>
          <w:b/>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spacing w:line="46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现附上由</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（签发机关名称）签发的我方法人营业执照，该执照业经年检，真实有效。</w:t>
      </w: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 与 人（全称并加盖公章）：</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zh-CN"/>
        </w:rPr>
        <w:t>报价授权委托人</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p>
    <w:p>
      <w:pPr>
        <w:spacing w:line="380" w:lineRule="exact"/>
        <w:outlineLvl w:val="2"/>
        <w:rPr>
          <w:rFonts w:hint="eastAsia" w:ascii="仿宋" w:hAnsi="仿宋" w:eastAsia="仿宋" w:cs="仿宋"/>
          <w:b/>
          <w:color w:val="auto"/>
          <w:sz w:val="24"/>
          <w:szCs w:val="24"/>
        </w:rPr>
      </w:pPr>
    </w:p>
    <w:p>
      <w:pPr>
        <w:spacing w:line="380" w:lineRule="exact"/>
        <w:jc w:val="center"/>
        <w:outlineLvl w:val="2"/>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bookmarkStart w:id="233" w:name="_Toc267060465"/>
      <w:bookmarkStart w:id="234" w:name="_Toc255975021"/>
      <w:bookmarkStart w:id="235" w:name="_Toc258401270"/>
      <w:bookmarkStart w:id="236" w:name="_Toc192663843"/>
      <w:bookmarkStart w:id="237" w:name="_Toc169332957"/>
      <w:bookmarkStart w:id="238" w:name="_Toc170798801"/>
      <w:bookmarkStart w:id="239" w:name="_Toc258401272"/>
      <w:bookmarkStart w:id="240" w:name="_Toc180302921"/>
      <w:bookmarkStart w:id="241" w:name="_Toc251613844"/>
      <w:bookmarkStart w:id="242" w:name="_Toc267060080"/>
      <w:bookmarkStart w:id="243" w:name="_Toc160880168"/>
      <w:bookmarkStart w:id="244" w:name="_Toc192996346"/>
      <w:bookmarkStart w:id="245" w:name="_Toc259692663"/>
      <w:bookmarkStart w:id="246" w:name="_Toc259520879"/>
      <w:bookmarkStart w:id="247" w:name="_Toc266870922"/>
      <w:bookmarkStart w:id="248" w:name="_Toc182805225"/>
      <w:bookmarkStart w:id="249" w:name="_Toc192664161"/>
      <w:bookmarkStart w:id="250" w:name="_Toc266868686"/>
      <w:bookmarkStart w:id="251" w:name="_Toc191789337"/>
      <w:bookmarkStart w:id="252" w:name="_Toc235438357"/>
      <w:bookmarkStart w:id="253" w:name="_Toc169332846"/>
      <w:bookmarkStart w:id="254" w:name="_Toc259692661"/>
      <w:bookmarkStart w:id="255" w:name="_Toc192663694"/>
      <w:bookmarkStart w:id="256" w:name="_Toc266870446"/>
      <w:bookmarkStart w:id="257" w:name="_Toc235438286"/>
      <w:bookmarkStart w:id="258" w:name="_Toc160880537"/>
      <w:bookmarkStart w:id="259" w:name="_Toc255975023"/>
      <w:bookmarkStart w:id="260" w:name="_Toc259692756"/>
      <w:bookmarkStart w:id="261" w:name="_Toc181436573"/>
      <w:bookmarkStart w:id="262" w:name="_Toc211917124"/>
      <w:bookmarkStart w:id="263" w:name="_Toc177985477"/>
      <w:bookmarkStart w:id="264" w:name="_Toc267060220"/>
      <w:bookmarkStart w:id="265" w:name="_Toc249325725"/>
      <w:bookmarkStart w:id="266" w:name="_Toc253066629"/>
      <w:bookmarkStart w:id="267" w:name="_Toc193165742"/>
      <w:bookmarkStart w:id="268" w:name="_Toc259692754"/>
      <w:bookmarkStart w:id="269" w:name="_Toc191802698"/>
      <w:bookmarkStart w:id="270" w:name="_Toc259520881"/>
      <w:bookmarkStart w:id="271" w:name="_Toc251586246"/>
      <w:bookmarkStart w:id="272" w:name="_Toc266870921"/>
      <w:bookmarkStart w:id="273" w:name="_Toc267060221"/>
      <w:bookmarkStart w:id="274" w:name="_Toc267060081"/>
      <w:bookmarkStart w:id="275" w:name="_Toc267060466"/>
      <w:bookmarkStart w:id="276" w:name="_Toc254790914"/>
      <w:bookmarkStart w:id="277" w:name="_Toc193160456"/>
      <w:bookmarkStart w:id="278" w:name="_Toc203355741"/>
      <w:bookmarkStart w:id="279" w:name="_Toc266870447"/>
      <w:bookmarkStart w:id="280" w:name="_Toc191803634"/>
      <w:bookmarkStart w:id="281" w:name="_Toc236021462"/>
      <w:bookmarkStart w:id="282" w:name="_Toc182372790"/>
      <w:bookmarkStart w:id="283" w:name="_Toc181436469"/>
      <w:bookmarkStart w:id="284" w:name="_Toc254790916"/>
      <w:bookmarkStart w:id="285" w:name="_Toc191783230"/>
      <w:bookmarkStart w:id="286" w:name="_Toc235438003"/>
      <w:bookmarkStart w:id="287" w:name="_Toc232302127"/>
      <w:bookmarkStart w:id="288" w:name="_Toc266868684"/>
      <w:bookmarkStart w:id="289" w:name="_Toc192996454"/>
    </w:p>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Pr>
        <w:spacing w:after="0" w:line="480" w:lineRule="exact"/>
        <w:ind w:firstLine="570"/>
        <w:jc w:val="center"/>
        <w:rPr>
          <w:rFonts w:hint="eastAsia" w:ascii="仿宋" w:hAnsi="仿宋" w:eastAsia="仿宋" w:cs="仿宋"/>
          <w:b/>
          <w:bCs/>
          <w:color w:val="auto"/>
          <w:sz w:val="24"/>
          <w:szCs w:val="24"/>
        </w:rPr>
      </w:pPr>
      <w:bookmarkStart w:id="290" w:name="_Toc232302128"/>
      <w:bookmarkStart w:id="291" w:name="_Toc266870448"/>
      <w:bookmarkStart w:id="292" w:name="_Toc267059545"/>
      <w:bookmarkStart w:id="293" w:name="_Toc267059187"/>
      <w:bookmarkStart w:id="294" w:name="_Toc273178704"/>
      <w:bookmarkStart w:id="295" w:name="_Toc258401273"/>
      <w:bookmarkStart w:id="296" w:name="_Toc267060222"/>
      <w:bookmarkStart w:id="297" w:name="_Toc255975024"/>
      <w:bookmarkStart w:id="298" w:name="_Toc235438358"/>
      <w:bookmarkStart w:id="299" w:name="_Toc253066630"/>
      <w:bookmarkStart w:id="300" w:name="_Toc267060082"/>
      <w:bookmarkStart w:id="301" w:name="_Toc235438287"/>
      <w:bookmarkStart w:id="302" w:name="_Toc251586247"/>
      <w:bookmarkStart w:id="303" w:name="_Toc249325726"/>
      <w:bookmarkStart w:id="304" w:name="_Toc254790917"/>
      <w:bookmarkStart w:id="305" w:name="_Toc236021463"/>
      <w:bookmarkStart w:id="306" w:name="_Toc266868944"/>
      <w:bookmarkStart w:id="307" w:name="_Toc266870923"/>
      <w:bookmarkStart w:id="308" w:name="_Toc267059659"/>
      <w:bookmarkStart w:id="309" w:name="_Toc251613845"/>
      <w:bookmarkStart w:id="310" w:name="_Toc259692664"/>
      <w:bookmarkStart w:id="311" w:name="_Toc267060327"/>
      <w:bookmarkStart w:id="312" w:name="_Toc259520882"/>
      <w:bookmarkStart w:id="313" w:name="_Toc266868687"/>
      <w:bookmarkStart w:id="314" w:name="_Toc266870840"/>
      <w:bookmarkStart w:id="315" w:name="_Toc267059036"/>
      <w:bookmarkStart w:id="316" w:name="_Toc267059812"/>
      <w:bookmarkStart w:id="317" w:name="_Toc259692757"/>
      <w:bookmarkStart w:id="318" w:name="_Toc267060467"/>
      <w:bookmarkStart w:id="319" w:name="_Toc235438004"/>
      <w:bookmarkStart w:id="320" w:name="_Toc267059925"/>
    </w:p>
    <w:p>
      <w:pPr>
        <w:spacing w:after="0" w:line="480" w:lineRule="exact"/>
        <w:ind w:firstLine="570"/>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4</w:t>
      </w:r>
      <w:r>
        <w:rPr>
          <w:rFonts w:hint="eastAsia" w:ascii="仿宋" w:hAnsi="仿宋" w:eastAsia="仿宋" w:cs="仿宋"/>
          <w:b/>
          <w:bCs/>
          <w:color w:val="auto"/>
          <w:sz w:val="24"/>
          <w:szCs w:val="24"/>
          <w:lang w:eastAsia="zh-CN"/>
        </w:rPr>
        <w:t>、</w:t>
      </w:r>
      <w:r>
        <w:rPr>
          <w:rFonts w:hint="eastAsia" w:ascii="仿宋" w:hAnsi="仿宋" w:eastAsia="仿宋" w:cs="仿宋"/>
          <w:b/>
          <w:bCs/>
          <w:color w:val="auto"/>
          <w:sz w:val="24"/>
          <w:szCs w:val="24"/>
        </w:rPr>
        <w:t>质保期和售后服务承诺书</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pPr>
        <w:widowControl w:val="0"/>
        <w:spacing w:after="0" w:line="240" w:lineRule="auto"/>
        <w:ind w:left="420"/>
        <w:jc w:val="center"/>
        <w:outlineLvl w:val="1"/>
        <w:rPr>
          <w:rFonts w:hint="eastAsia" w:ascii="仿宋" w:hAnsi="仿宋" w:eastAsia="仿宋" w:cs="仿宋"/>
          <w:b/>
          <w:color w:val="auto"/>
          <w:sz w:val="24"/>
          <w:szCs w:val="24"/>
        </w:rPr>
      </w:pPr>
    </w:p>
    <w:p>
      <w:pPr>
        <w:rPr>
          <w:rFonts w:hint="eastAsia" w:ascii="仿宋" w:hAnsi="仿宋" w:eastAsia="仿宋" w:cs="仿宋"/>
          <w:b/>
          <w:color w:val="auto"/>
          <w:sz w:val="24"/>
          <w:szCs w:val="24"/>
        </w:rPr>
      </w:pPr>
      <w:r>
        <w:rPr>
          <w:rFonts w:hint="eastAsia" w:ascii="仿宋" w:hAnsi="仿宋" w:eastAsia="仿宋" w:cs="仿宋"/>
          <w:b/>
          <w:color w:val="auto"/>
          <w:sz w:val="24"/>
          <w:szCs w:val="24"/>
        </w:rPr>
        <w:t xml:space="preserve">   </w:t>
      </w:r>
    </w:p>
    <w:p>
      <w:pPr>
        <w:spacing w:line="500" w:lineRule="exact"/>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文件中对售后服务的要求，结合自身实际情况进行承诺（含产品质量保障体系等）、交货周期承诺</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主要易损件更换价格表</w:t>
      </w:r>
      <w:r>
        <w:rPr>
          <w:rFonts w:hint="eastAsia" w:ascii="仿宋" w:hAnsi="仿宋" w:eastAsia="仿宋" w:cs="仿宋"/>
          <w:color w:val="auto"/>
          <w:sz w:val="24"/>
          <w:szCs w:val="24"/>
          <w:lang w:val="en-US" w:eastAsia="zh-CN"/>
        </w:rPr>
        <w:t>等</w:t>
      </w:r>
      <w:r>
        <w:rPr>
          <w:rFonts w:hint="eastAsia" w:ascii="仿宋" w:hAnsi="仿宋" w:eastAsia="仿宋" w:cs="仿宋"/>
          <w:color w:val="auto"/>
          <w:sz w:val="24"/>
          <w:szCs w:val="24"/>
          <w:lang w:eastAsia="zh-CN"/>
        </w:rPr>
        <w:t>。</w:t>
      </w:r>
    </w:p>
    <w:p>
      <w:pPr>
        <w:spacing w:line="500" w:lineRule="exact"/>
        <w:ind w:firstLine="480"/>
        <w:rPr>
          <w:rFonts w:hint="eastAsia" w:ascii="仿宋" w:hAnsi="仿宋" w:eastAsia="仿宋" w:cs="仿宋"/>
          <w:color w:val="auto"/>
          <w:sz w:val="24"/>
          <w:szCs w:val="24"/>
        </w:rPr>
      </w:pPr>
      <w:r>
        <w:rPr>
          <w:rFonts w:hint="eastAsia" w:ascii="仿宋" w:hAnsi="仿宋" w:eastAsia="仿宋" w:cs="仿宋"/>
          <w:color w:val="auto"/>
          <w:sz w:val="24"/>
          <w:szCs w:val="24"/>
        </w:rPr>
        <w:t>承诺如下：</w:t>
      </w:r>
    </w:p>
    <w:p>
      <w:pPr>
        <w:spacing w:line="420" w:lineRule="exact"/>
        <w:ind w:firstLine="480"/>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ind w:firstLine="3120" w:firstLineChars="1300"/>
        <w:rPr>
          <w:rFonts w:hint="eastAsia" w:ascii="仿宋" w:hAnsi="仿宋" w:eastAsia="仿宋" w:cs="仿宋"/>
          <w:color w:val="auto"/>
          <w:sz w:val="24"/>
          <w:szCs w:val="24"/>
        </w:rPr>
      </w:pPr>
      <w:r>
        <w:rPr>
          <w:rFonts w:hint="eastAsia" w:ascii="仿宋" w:hAnsi="仿宋" w:eastAsia="仿宋" w:cs="仿宋"/>
          <w:color w:val="auto"/>
          <w:sz w:val="24"/>
          <w:szCs w:val="24"/>
        </w:rPr>
        <w:t>参 与 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参与人授权代表：</w:t>
      </w:r>
      <w:r>
        <w:rPr>
          <w:rFonts w:hint="eastAsia" w:ascii="仿宋" w:hAnsi="仿宋" w:eastAsia="仿宋" w:cs="仿宋"/>
          <w:color w:val="auto"/>
          <w:sz w:val="24"/>
          <w:szCs w:val="24"/>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p>
    <w:p>
      <w:pPr>
        <w:rPr>
          <w:rFonts w:hint="default"/>
          <w:lang w:val="en-US" w:eastAsia="zh-CN"/>
        </w:rPr>
      </w:pPr>
    </w:p>
    <w:p/>
    <w:p/>
    <w:p/>
    <w:p/>
    <w:p>
      <w:pPr>
        <w:spacing w:after="0" w:line="480" w:lineRule="exact"/>
        <w:ind w:firstLine="570"/>
        <w:jc w:val="center"/>
        <w:rPr>
          <w:rFonts w:hint="eastAsia" w:ascii="仿宋" w:hAnsi="仿宋" w:eastAsia="仿宋"/>
          <w:b/>
          <w:bCs/>
          <w:color w:val="auto"/>
          <w:sz w:val="24"/>
          <w:szCs w:val="24"/>
          <w:lang w:val="en-US" w:eastAsia="zh-CN"/>
        </w:rPr>
      </w:pPr>
      <w:bookmarkStart w:id="321" w:name="_GoBack"/>
      <w:bookmarkEnd w:id="321"/>
    </w:p>
    <w:p>
      <w:pPr>
        <w:spacing w:after="0" w:line="480" w:lineRule="exact"/>
        <w:ind w:firstLine="570"/>
        <w:jc w:val="center"/>
      </w:pPr>
      <w:r>
        <w:rPr>
          <w:rFonts w:hint="eastAsia" w:ascii="仿宋" w:hAnsi="仿宋" w:eastAsia="仿宋"/>
          <w:b/>
          <w:bCs/>
          <w:color w:val="auto"/>
          <w:sz w:val="24"/>
          <w:szCs w:val="24"/>
          <w:lang w:val="en-US" w:eastAsia="zh-CN"/>
        </w:rPr>
        <w:t>5、资格审查表</w:t>
      </w:r>
    </w:p>
    <w:tbl>
      <w:tblPr>
        <w:tblStyle w:val="23"/>
        <w:tblpPr w:leftFromText="180" w:rightFromText="180" w:vertAnchor="text" w:horzAnchor="page" w:tblpX="1328" w:tblpY="384"/>
        <w:tblOverlap w:val="never"/>
        <w:tblW w:w="923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2976"/>
        <w:gridCol w:w="3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2976"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 w:name="Courier New">
    <w:panose1 w:val="02070309020205020404"/>
    <w:charset w:val="00"/>
    <w:family w:val="modern"/>
    <w:pitch w:val="default"/>
    <w:sig w:usb0="E0002E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sdtPr>
    <w:sdtContent>
      <w:sdt>
        <w:sdtPr>
          <w:id w:val="455225834"/>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BCF79B"/>
    <w:multiLevelType w:val="singleLevel"/>
    <w:tmpl w:val="A7BCF79B"/>
    <w:lvl w:ilvl="0" w:tentative="0">
      <w:start w:val="1"/>
      <w:numFmt w:val="decimal"/>
      <w:lvlText w:val="%1."/>
      <w:lvlJc w:val="left"/>
      <w:pPr>
        <w:tabs>
          <w:tab w:val="left" w:pos="420"/>
        </w:tabs>
        <w:ind w:left="845" w:hanging="425"/>
      </w:pPr>
      <w:rPr>
        <w:rFonts w:hint="default"/>
      </w:rPr>
    </w:lvl>
  </w:abstractNum>
  <w:abstractNum w:abstractNumId="1">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1"/>
  </w:num>
  <w:num w:numId="3">
    <w:abstractNumId w:val="4"/>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JiOGJiMzY0MmRhMzQwZDkzYWIzOTRiMDhhNjgyNWIifQ=="/>
  </w:docVars>
  <w:rsids>
    <w:rsidRoot w:val="00000000"/>
    <w:rsid w:val="06997F82"/>
    <w:rsid w:val="4E522B20"/>
    <w:rsid w:val="7D9E32E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8"/>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9"/>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0"/>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1"/>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2"/>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3"/>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4"/>
    <w:unhideWhenUsed/>
    <w:qFormat/>
    <w:uiPriority w:val="9"/>
    <w:pPr>
      <w:keepNext/>
      <w:keepLines/>
      <w:spacing w:before="120" w:after="0"/>
      <w:outlineLvl w:val="6"/>
    </w:pPr>
    <w:rPr>
      <w:i/>
      <w:iCs/>
    </w:rPr>
  </w:style>
  <w:style w:type="paragraph" w:styleId="9">
    <w:name w:val="heading 8"/>
    <w:basedOn w:val="1"/>
    <w:next w:val="1"/>
    <w:link w:val="35"/>
    <w:unhideWhenUsed/>
    <w:qFormat/>
    <w:uiPriority w:val="9"/>
    <w:pPr>
      <w:keepNext/>
      <w:keepLines/>
      <w:spacing w:before="120" w:after="0"/>
      <w:outlineLvl w:val="7"/>
    </w:pPr>
    <w:rPr>
      <w:b/>
      <w:bCs/>
    </w:rPr>
  </w:style>
  <w:style w:type="paragraph" w:styleId="10">
    <w:name w:val="heading 9"/>
    <w:basedOn w:val="1"/>
    <w:next w:val="1"/>
    <w:link w:val="36"/>
    <w:unhideWhenUsed/>
    <w:qFormat/>
    <w:uiPriority w:val="9"/>
    <w:pPr>
      <w:keepNext/>
      <w:keepLines/>
      <w:spacing w:before="120" w:after="0"/>
      <w:outlineLvl w:val="8"/>
    </w:pPr>
    <w:rPr>
      <w:i/>
      <w:iCs/>
    </w:rPr>
  </w:style>
  <w:style w:type="character" w:default="1" w:styleId="24">
    <w:name w:val="Default Paragraph Font"/>
    <w:unhideWhenUsed/>
    <w:qFormat/>
    <w:uiPriority w:val="1"/>
  </w:style>
  <w:style w:type="table" w:default="1" w:styleId="23">
    <w:name w:val="Normal Table"/>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unhideWhenUsed/>
    <w:qFormat/>
    <w:uiPriority w:val="35"/>
    <w:rPr>
      <w:b/>
      <w:bCs/>
      <w:sz w:val="18"/>
      <w:szCs w:val="18"/>
    </w:rPr>
  </w:style>
  <w:style w:type="paragraph" w:styleId="13">
    <w:name w:val="Body Text"/>
    <w:basedOn w:val="1"/>
    <w:link w:val="58"/>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7"/>
    <w:unhideWhenUsed/>
    <w:qFormat/>
    <w:uiPriority w:val="0"/>
    <w:rPr>
      <w:rFonts w:hAnsi="Courier New" w:cs="Courier New" w:asciiTheme="minorEastAsia"/>
    </w:rPr>
  </w:style>
  <w:style w:type="paragraph" w:styleId="16">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8"/>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7"/>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styleId="27">
    <w:name w:val="Hyperlink"/>
    <w:basedOn w:val="24"/>
    <w:unhideWhenUsed/>
    <w:qFormat/>
    <w:uiPriority w:val="99"/>
    <w:rPr>
      <w:color w:val="F49100" w:themeColor="hyperlink"/>
      <w:u w:val="single"/>
      <w14:textFill>
        <w14:solidFill>
          <w14:schemeClr w14:val="hlink"/>
        </w14:solidFill>
      </w14:textFill>
    </w:rPr>
  </w:style>
  <w:style w:type="character" w:customStyle="1" w:styleId="28">
    <w:name w:val="标题 1 字符"/>
    <w:basedOn w:val="24"/>
    <w:link w:val="2"/>
    <w:qFormat/>
    <w:uiPriority w:val="9"/>
    <w:rPr>
      <w:rFonts w:asciiTheme="majorHAnsi" w:hAnsiTheme="majorHAnsi" w:eastAsiaTheme="majorEastAsia" w:cstheme="majorBidi"/>
      <w:b/>
      <w:bCs/>
      <w:caps/>
      <w:spacing w:val="4"/>
      <w:sz w:val="28"/>
      <w:szCs w:val="28"/>
    </w:rPr>
  </w:style>
  <w:style w:type="character" w:customStyle="1" w:styleId="29">
    <w:name w:val="标题 2 字符"/>
    <w:basedOn w:val="24"/>
    <w:link w:val="3"/>
    <w:semiHidden/>
    <w:qFormat/>
    <w:uiPriority w:val="9"/>
    <w:rPr>
      <w:rFonts w:asciiTheme="majorHAnsi" w:hAnsiTheme="majorHAnsi" w:eastAsiaTheme="majorEastAsia" w:cstheme="majorBidi"/>
      <w:b/>
      <w:bCs/>
      <w:sz w:val="28"/>
      <w:szCs w:val="28"/>
    </w:rPr>
  </w:style>
  <w:style w:type="character" w:customStyle="1" w:styleId="30">
    <w:name w:val="标题 3 字符"/>
    <w:basedOn w:val="24"/>
    <w:link w:val="4"/>
    <w:semiHidden/>
    <w:qFormat/>
    <w:uiPriority w:val="9"/>
    <w:rPr>
      <w:rFonts w:asciiTheme="majorHAnsi" w:hAnsiTheme="majorHAnsi" w:eastAsiaTheme="majorEastAsia" w:cstheme="majorBidi"/>
      <w:spacing w:val="4"/>
      <w:sz w:val="24"/>
      <w:szCs w:val="24"/>
    </w:rPr>
  </w:style>
  <w:style w:type="character" w:customStyle="1" w:styleId="31">
    <w:name w:val="标题 4 字符"/>
    <w:basedOn w:val="24"/>
    <w:link w:val="5"/>
    <w:semiHidden/>
    <w:qFormat/>
    <w:uiPriority w:val="9"/>
    <w:rPr>
      <w:rFonts w:asciiTheme="majorHAnsi" w:hAnsiTheme="majorHAnsi" w:eastAsiaTheme="majorEastAsia" w:cstheme="majorBidi"/>
      <w:i/>
      <w:iCs/>
      <w:sz w:val="24"/>
      <w:szCs w:val="24"/>
    </w:rPr>
  </w:style>
  <w:style w:type="character" w:customStyle="1" w:styleId="32">
    <w:name w:val="标题 5 字符"/>
    <w:basedOn w:val="24"/>
    <w:link w:val="6"/>
    <w:semiHidden/>
    <w:qFormat/>
    <w:uiPriority w:val="9"/>
    <w:rPr>
      <w:rFonts w:asciiTheme="majorHAnsi" w:hAnsiTheme="majorHAnsi" w:eastAsiaTheme="majorEastAsia" w:cstheme="majorBidi"/>
      <w:b/>
      <w:bCs/>
    </w:rPr>
  </w:style>
  <w:style w:type="character" w:customStyle="1" w:styleId="33">
    <w:name w:val="标题 6 字符"/>
    <w:basedOn w:val="24"/>
    <w:link w:val="7"/>
    <w:semiHidden/>
    <w:qFormat/>
    <w:uiPriority w:val="9"/>
    <w:rPr>
      <w:rFonts w:asciiTheme="majorHAnsi" w:hAnsiTheme="majorHAnsi" w:eastAsiaTheme="majorEastAsia" w:cstheme="majorBidi"/>
      <w:b/>
      <w:bCs/>
      <w:i/>
      <w:iCs/>
    </w:rPr>
  </w:style>
  <w:style w:type="character" w:customStyle="1" w:styleId="34">
    <w:name w:val="标题 7 字符"/>
    <w:basedOn w:val="24"/>
    <w:link w:val="8"/>
    <w:semiHidden/>
    <w:qFormat/>
    <w:uiPriority w:val="9"/>
    <w:rPr>
      <w:i/>
      <w:iCs/>
    </w:rPr>
  </w:style>
  <w:style w:type="character" w:customStyle="1" w:styleId="35">
    <w:name w:val="标题 8 字符"/>
    <w:basedOn w:val="24"/>
    <w:link w:val="9"/>
    <w:semiHidden/>
    <w:qFormat/>
    <w:uiPriority w:val="9"/>
    <w:rPr>
      <w:b/>
      <w:bCs/>
    </w:rPr>
  </w:style>
  <w:style w:type="character" w:customStyle="1" w:styleId="36">
    <w:name w:val="标题 9 字符"/>
    <w:basedOn w:val="24"/>
    <w:link w:val="10"/>
    <w:semiHidden/>
    <w:qFormat/>
    <w:uiPriority w:val="9"/>
    <w:rPr>
      <w:i/>
      <w:iCs/>
    </w:rPr>
  </w:style>
  <w:style w:type="character" w:customStyle="1" w:styleId="37">
    <w:name w:val="标题 字符"/>
    <w:basedOn w:val="24"/>
    <w:link w:val="22"/>
    <w:qFormat/>
    <w:uiPriority w:val="10"/>
    <w:rPr>
      <w:rFonts w:asciiTheme="majorHAnsi" w:hAnsiTheme="majorHAnsi" w:eastAsiaTheme="majorEastAsia" w:cstheme="majorBidi"/>
      <w:b/>
      <w:bCs/>
      <w:spacing w:val="-7"/>
      <w:sz w:val="48"/>
      <w:szCs w:val="48"/>
    </w:rPr>
  </w:style>
  <w:style w:type="character" w:customStyle="1" w:styleId="38">
    <w:name w:val="副标题 字符"/>
    <w:basedOn w:val="24"/>
    <w:link w:val="19"/>
    <w:qFormat/>
    <w:uiPriority w:val="11"/>
    <w:rPr>
      <w:rFonts w:asciiTheme="majorHAnsi" w:hAnsiTheme="majorHAnsi" w:eastAsiaTheme="majorEastAsia" w:cstheme="majorBidi"/>
      <w:sz w:val="24"/>
      <w:szCs w:val="24"/>
    </w:rPr>
  </w:style>
  <w:style w:type="paragraph" w:customStyle="1" w:styleId="39">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customStyle="1"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4"/>
    <w:link w:val="40"/>
    <w:qFormat/>
    <w:uiPriority w:val="29"/>
    <w:rPr>
      <w:rFonts w:asciiTheme="majorHAnsi" w:hAnsiTheme="majorHAnsi" w:eastAsiaTheme="majorEastAsia" w:cstheme="majorBidi"/>
      <w:i/>
      <w:iCs/>
      <w:sz w:val="24"/>
      <w:szCs w:val="24"/>
    </w:rPr>
  </w:style>
  <w:style w:type="paragraph" w:customStyle="1"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4"/>
    <w:link w:val="42"/>
    <w:qFormat/>
    <w:uiPriority w:val="30"/>
    <w:rPr>
      <w:rFonts w:asciiTheme="majorHAnsi" w:hAnsiTheme="majorHAnsi" w:eastAsiaTheme="majorEastAsia" w:cstheme="majorBidi"/>
      <w:sz w:val="26"/>
      <w:szCs w:val="26"/>
    </w:rPr>
  </w:style>
  <w:style w:type="character" w:customStyle="1" w:styleId="44">
    <w:name w:val="Subtle Emphasis"/>
    <w:basedOn w:val="24"/>
    <w:qFormat/>
    <w:uiPriority w:val="19"/>
    <w:rPr>
      <w:i/>
      <w:iCs/>
      <w:color w:val="auto"/>
    </w:rPr>
  </w:style>
  <w:style w:type="character" w:customStyle="1" w:styleId="45">
    <w:name w:val="Intense Emphasis"/>
    <w:basedOn w:val="24"/>
    <w:qFormat/>
    <w:uiPriority w:val="21"/>
    <w:rPr>
      <w:b/>
      <w:bCs/>
      <w:i/>
      <w:iCs/>
      <w:color w:val="auto"/>
    </w:rPr>
  </w:style>
  <w:style w:type="character" w:customStyle="1" w:styleId="46">
    <w:name w:val="Subtle Reference"/>
    <w:basedOn w:val="24"/>
    <w:qFormat/>
    <w:uiPriority w:val="31"/>
    <w:rPr>
      <w:smallCaps/>
      <w:color w:val="auto"/>
      <w:u w:val="single" w:color="7E7E7E" w:themeColor="text1" w:themeTint="80"/>
    </w:rPr>
  </w:style>
  <w:style w:type="character" w:customStyle="1" w:styleId="47">
    <w:name w:val="Intense Reference"/>
    <w:basedOn w:val="24"/>
    <w:qFormat/>
    <w:uiPriority w:val="32"/>
    <w:rPr>
      <w:b/>
      <w:bCs/>
      <w:smallCaps/>
      <w:color w:val="auto"/>
      <w:u w:val="single"/>
    </w:rPr>
  </w:style>
  <w:style w:type="character" w:customStyle="1" w:styleId="48">
    <w:name w:val="Book Title"/>
    <w:basedOn w:val="24"/>
    <w:qFormat/>
    <w:uiPriority w:val="33"/>
    <w:rPr>
      <w:b/>
      <w:bCs/>
      <w:smallCaps/>
      <w:color w:val="auto"/>
    </w:rPr>
  </w:style>
  <w:style w:type="paragraph" w:customStyle="1" w:styleId="49">
    <w:name w:val="TOC Heading"/>
    <w:basedOn w:val="2"/>
    <w:next w:val="1"/>
    <w:unhideWhenUsed/>
    <w:qFormat/>
    <w:uiPriority w:val="39"/>
    <w:pPr>
      <w:outlineLvl w:val="9"/>
    </w:pPr>
  </w:style>
  <w:style w:type="character" w:customStyle="1" w:styleId="50">
    <w:name w:val="无间隔 字符"/>
    <w:basedOn w:val="24"/>
    <w:link w:val="39"/>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4"/>
    <w:link w:val="17"/>
    <w:qFormat/>
    <w:uiPriority w:val="99"/>
    <w:rPr>
      <w:sz w:val="18"/>
      <w:szCs w:val="18"/>
    </w:rPr>
  </w:style>
  <w:style w:type="character" w:customStyle="1" w:styleId="53">
    <w:name w:val="页脚 字符"/>
    <w:basedOn w:val="24"/>
    <w:link w:val="16"/>
    <w:qFormat/>
    <w:uiPriority w:val="99"/>
    <w:rPr>
      <w:sz w:val="18"/>
      <w:szCs w:val="18"/>
    </w:rPr>
  </w:style>
  <w:style w:type="paragraph" w:customStyle="1" w:styleId="54">
    <w:name w:val="List Paragraph"/>
    <w:basedOn w:val="1"/>
    <w:qFormat/>
    <w:uiPriority w:val="34"/>
    <w:pPr>
      <w:ind w:firstLine="420" w:firstLineChars="200"/>
    </w:pPr>
  </w:style>
  <w:style w:type="character" w:customStyle="1" w:styleId="55">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6">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4"/>
    <w:link w:val="15"/>
    <w:semiHidden/>
    <w:qFormat/>
    <w:uiPriority w:val="99"/>
    <w:rPr>
      <w:rFonts w:hAnsi="Courier New" w:cs="Courier New" w:asciiTheme="minorEastAsia"/>
    </w:rPr>
  </w:style>
  <w:style w:type="character" w:customStyle="1" w:styleId="58">
    <w:name w:val="正文文本 字符"/>
    <w:basedOn w:val="24"/>
    <w:link w:val="13"/>
    <w:semiHidden/>
    <w:qFormat/>
    <w:uiPriority w:val="99"/>
  </w:style>
  <w:style w:type="character" w:customStyle="1" w:styleId="59">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3487</Words>
  <Characters>3677</Characters>
  <Lines>19</Lines>
  <Paragraphs>5</Paragraphs>
  <TotalTime>0</TotalTime>
  <ScaleCrop>false</ScaleCrop>
  <LinksUpToDate>false</LinksUpToDate>
  <CharactersWithSpaces>4577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2020-04-23T02:27:00Z</dcterms:created>
  <dc:creator>树亮 门</dc:creator>
  <cp:lastModifiedBy>kang</cp:lastModifiedBy>
  <dcterms:modified xsi:type="dcterms:W3CDTF">2022-11-18T08:59:36Z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21B75BA375EB419EBB307A78BF785E5B</vt:lpwstr>
  </property>
</Properties>
</file>