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spacing w:line="360" w:lineRule="auto"/>
        <w:jc w:val="center"/>
        <w:outlineLvl w:val="0"/>
        <w:rPr>
          <w:rFonts w:ascii="仿宋" w:hAnsi="仿宋" w:eastAsia="仿宋"/>
          <w:b/>
          <w:color w:val="auto"/>
          <w:sz w:val="44"/>
          <w:szCs w:val="44"/>
        </w:rPr>
      </w:pPr>
      <w:bookmarkStart w:id="0" w:name="_Toc266870386"/>
      <w:bookmarkStart w:id="1" w:name="_Toc216241307"/>
      <w:bookmarkStart w:id="2" w:name="_Toc259692600"/>
      <w:bookmarkStart w:id="3" w:name="_Toc259520819"/>
      <w:bookmarkStart w:id="4" w:name="_Toc207014580"/>
      <w:bookmarkStart w:id="5" w:name="_Toc267059161"/>
      <w:bookmarkStart w:id="6" w:name="_Toc253066567"/>
      <w:bookmarkStart w:id="7" w:name="_Toc267060022"/>
      <w:bookmarkStart w:id="8" w:name="_Toc254790852"/>
      <w:bookmarkStart w:id="9" w:name="_Toc267059519"/>
      <w:bookmarkStart w:id="10" w:name="_Toc255974963"/>
      <w:bookmarkStart w:id="11" w:name="_Toc267059786"/>
      <w:bookmarkStart w:id="12" w:name="_Toc273178686"/>
      <w:bookmarkStart w:id="13" w:name="_Toc211937196"/>
      <w:bookmarkStart w:id="14" w:name="_Toc223146565"/>
      <w:bookmarkStart w:id="15" w:name="_Toc251613780"/>
      <w:bookmarkStart w:id="16" w:name="_Toc259692693"/>
      <w:bookmarkStart w:id="17" w:name="_Toc169332904"/>
      <w:bookmarkStart w:id="18" w:name="_Toc266868624"/>
      <w:bookmarkStart w:id="19" w:name="_Toc267059899"/>
      <w:bookmarkStart w:id="20" w:name="_Toc249325665"/>
      <w:bookmarkStart w:id="21" w:name="_Toc236021402"/>
      <w:bookmarkStart w:id="22" w:name="_Toc267060407"/>
      <w:bookmarkStart w:id="23" w:name="_Toc212456146"/>
      <w:bookmarkStart w:id="24" w:name="_Toc267059633"/>
      <w:bookmarkStart w:id="25" w:name="_Toc170798743"/>
      <w:bookmarkStart w:id="26" w:name="_Toc266868924"/>
      <w:bookmarkStart w:id="27" w:name="_Toc160880487"/>
      <w:bookmarkStart w:id="28" w:name="_Toc267060162"/>
      <w:bookmarkStart w:id="29" w:name="_Toc235438297"/>
      <w:bookmarkStart w:id="30" w:name="_Toc169332794"/>
      <w:bookmarkStart w:id="31" w:name="_Toc266870861"/>
      <w:bookmarkStart w:id="32" w:name="_Toc177985424"/>
      <w:bookmarkStart w:id="33" w:name="_Toc225669277"/>
      <w:bookmarkStart w:id="34" w:name="_Toc217891359"/>
      <w:bookmarkStart w:id="35" w:name="_Toc258401210"/>
      <w:bookmarkStart w:id="36" w:name="_Toc212530253"/>
      <w:bookmarkStart w:id="37" w:name="_Toc235437942"/>
      <w:bookmarkStart w:id="38" w:name="_Toc212454753"/>
      <w:bookmarkStart w:id="39" w:name="_Toc212526081"/>
      <w:bookmarkStart w:id="40" w:name="_Toc267059010"/>
      <w:bookmarkStart w:id="41" w:name="_Toc235438227"/>
      <w:bookmarkStart w:id="42" w:name="_Toc227058483"/>
      <w:bookmarkStart w:id="43" w:name="_Toc251586187"/>
      <w:bookmarkStart w:id="44" w:name="_Toc219800200"/>
      <w:bookmarkStart w:id="45" w:name="_Hlk10840310"/>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keepNext w:val="0"/>
        <w:keepLines w:val="0"/>
        <w:pageBreakBefore w:val="0"/>
        <w:kinsoku/>
        <w:wordWrap/>
        <w:overflowPunct/>
        <w:topLinePunct w:val="0"/>
        <w:bidi w:val="0"/>
        <w:snapToGrid/>
        <w:spacing w:after="0" w:line="400" w:lineRule="exact"/>
        <w:ind w:firstLine="364" w:firstLineChars="152"/>
        <w:jc w:val="left"/>
        <w:textAlignment w:val="auto"/>
        <w:rPr>
          <w:rFonts w:hint="eastAsia" w:ascii="仿宋" w:hAnsi="仿宋" w:eastAsia="仿宋"/>
          <w:color w:val="000000"/>
          <w:sz w:val="24"/>
          <w:szCs w:val="24"/>
        </w:rPr>
      </w:pPr>
      <w:r>
        <w:rPr>
          <w:rFonts w:hint="eastAsia" w:ascii="仿宋" w:hAnsi="仿宋" w:eastAsia="仿宋"/>
          <w:color w:val="000000"/>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olor w:val="000000"/>
          <w:sz w:val="24"/>
          <w:szCs w:val="24"/>
          <w:lang w:val="en-US" w:eastAsia="zh-CN"/>
        </w:rPr>
        <w:t>电子围栏项目</w:t>
      </w:r>
      <w:r>
        <w:rPr>
          <w:rFonts w:hint="eastAsia" w:ascii="仿宋" w:hAnsi="仿宋" w:eastAsia="仿宋"/>
          <w:color w:val="000000"/>
          <w:sz w:val="24"/>
          <w:szCs w:val="24"/>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sz w:val="24"/>
          <w:szCs w:val="24"/>
        </w:rPr>
        <w:t>项目编号：</w:t>
      </w:r>
      <w:r>
        <w:rPr>
          <w:rFonts w:hint="eastAsia" w:ascii="仿宋" w:hAnsi="仿宋" w:eastAsia="仿宋"/>
          <w:color w:val="000000"/>
          <w:sz w:val="24"/>
          <w:szCs w:val="24"/>
          <w:lang w:val="en-US" w:eastAsia="zh-CN"/>
        </w:rPr>
        <w:t>ZZCG20230303</w:t>
      </w:r>
    </w:p>
    <w:p>
      <w:pPr>
        <w:widowControl w:val="0"/>
        <w:numPr>
          <w:ilvl w:val="1"/>
          <w:numId w:val="1"/>
        </w:numPr>
        <w:tabs>
          <w:tab w:val="left" w:pos="7576"/>
        </w:tabs>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项目名称：郑州城轨交通中等专业学校</w:t>
      </w:r>
      <w:r>
        <w:rPr>
          <w:rFonts w:hint="eastAsia" w:ascii="仿宋" w:hAnsi="仿宋" w:eastAsia="仿宋"/>
          <w:color w:val="auto"/>
          <w:sz w:val="24"/>
          <w:szCs w:val="24"/>
          <w:highlight w:val="none"/>
          <w:lang w:val="en-US" w:eastAsia="zh-CN"/>
        </w:rPr>
        <w:t>电子围栏项目</w:t>
      </w:r>
      <w:r>
        <w:rPr>
          <w:rFonts w:hint="eastAsia" w:ascii="仿宋" w:hAnsi="仿宋" w:eastAsia="仿宋"/>
          <w:color w:val="auto"/>
          <w:sz w:val="24"/>
          <w:szCs w:val="24"/>
          <w:highlight w:val="none"/>
          <w:lang w:val="en-US" w:eastAsia="zh-CN"/>
        </w:rPr>
        <w:tab/>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数量及主要技术要求:详见《公开询价货物一览表》。</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11"/>
        <w:numPr>
          <w:ilvl w:val="0"/>
          <w:numId w:val="2"/>
        </w:numPr>
        <w:spacing w:after="0" w:line="500" w:lineRule="exact"/>
        <w:ind w:left="1160" w:leftChars="0"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11"/>
        <w:numPr>
          <w:ilvl w:val="0"/>
          <w:numId w:val="2"/>
        </w:numPr>
        <w:spacing w:after="0" w:line="500" w:lineRule="exact"/>
        <w:ind w:left="1160" w:leftChars="0"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参与人应具有合法有效的营业执照，经营范围应包括</w:t>
      </w:r>
      <w:r>
        <w:rPr>
          <w:rFonts w:hint="eastAsia" w:ascii="仿宋" w:hAnsi="仿宋" w:eastAsia="仿宋"/>
          <w:color w:val="auto"/>
          <w:sz w:val="24"/>
          <w:szCs w:val="24"/>
          <w:highlight w:val="none"/>
          <w:lang w:val="en-US" w:eastAsia="zh-CN"/>
        </w:rPr>
        <w:t>相关内容。</w:t>
      </w:r>
    </w:p>
    <w:p>
      <w:pPr>
        <w:pStyle w:val="11"/>
        <w:numPr>
          <w:ilvl w:val="0"/>
          <w:numId w:val="2"/>
        </w:numPr>
        <w:spacing w:after="0" w:line="500" w:lineRule="exact"/>
        <w:ind w:left="1160" w:leftChars="0" w:firstLineChars="0"/>
        <w:rPr>
          <w:rFonts w:ascii="仿宋" w:hAnsi="仿宋" w:eastAsia="仿宋"/>
          <w:color w:val="auto"/>
          <w:sz w:val="24"/>
          <w:szCs w:val="24"/>
        </w:rPr>
      </w:pPr>
      <w:r>
        <w:rPr>
          <w:rFonts w:hint="eastAsia" w:ascii="仿宋" w:hAnsi="仿宋" w:eastAsia="仿宋"/>
          <w:color w:val="auto"/>
          <w:sz w:val="24"/>
          <w:szCs w:val="24"/>
          <w:highlight w:val="none"/>
        </w:rPr>
        <w:t>参与人应具</w:t>
      </w:r>
      <w:r>
        <w:rPr>
          <w:rFonts w:ascii="仿宋" w:hAnsi="仿宋" w:eastAsia="仿宋"/>
          <w:color w:val="auto"/>
          <w:sz w:val="24"/>
          <w:szCs w:val="24"/>
          <w:highlight w:val="none"/>
        </w:rPr>
        <w:t>有提</w:t>
      </w:r>
      <w:r>
        <w:rPr>
          <w:rFonts w:hint="eastAsia" w:ascii="仿宋" w:hAnsi="仿宋" w:eastAsia="仿宋"/>
          <w:color w:val="auto"/>
          <w:sz w:val="24"/>
          <w:szCs w:val="24"/>
          <w:highlight w:val="none"/>
        </w:rPr>
        <w:t>供</w:t>
      </w:r>
      <w:r>
        <w:rPr>
          <w:rFonts w:hint="eastAsia" w:ascii="仿宋" w:hAnsi="仿宋" w:eastAsia="仿宋"/>
          <w:color w:val="auto"/>
          <w:sz w:val="24"/>
          <w:szCs w:val="24"/>
          <w:highlight w:val="none"/>
          <w:lang w:val="en-US" w:eastAsia="zh-CN"/>
        </w:rPr>
        <w:t>电子围栏</w:t>
      </w:r>
      <w:r>
        <w:rPr>
          <w:rFonts w:hint="eastAsia" w:ascii="仿宋" w:hAnsi="仿宋" w:eastAsia="仿宋"/>
          <w:color w:val="auto"/>
          <w:sz w:val="24"/>
          <w:szCs w:val="24"/>
          <w:highlight w:val="none"/>
        </w:rPr>
        <w:t>设备</w:t>
      </w:r>
      <w:r>
        <w:rPr>
          <w:rFonts w:ascii="仿宋" w:hAnsi="仿宋" w:eastAsia="仿宋"/>
          <w:color w:val="auto"/>
          <w:sz w:val="24"/>
          <w:szCs w:val="24"/>
          <w:highlight w:val="none"/>
        </w:rPr>
        <w:t>和服务的资格</w:t>
      </w:r>
      <w:r>
        <w:rPr>
          <w:rFonts w:hint="eastAsia" w:ascii="仿宋" w:hAnsi="仿宋" w:eastAsia="仿宋"/>
          <w:color w:val="auto"/>
          <w:sz w:val="24"/>
          <w:szCs w:val="24"/>
          <w:highlight w:val="none"/>
        </w:rPr>
        <w:t>及</w:t>
      </w:r>
      <w:r>
        <w:rPr>
          <w:rFonts w:ascii="仿宋" w:hAnsi="仿宋" w:eastAsia="仿宋"/>
          <w:color w:val="auto"/>
          <w:sz w:val="24"/>
          <w:szCs w:val="24"/>
          <w:highlight w:val="none"/>
        </w:rPr>
        <w:t>能力</w:t>
      </w:r>
      <w:r>
        <w:rPr>
          <w:rFonts w:hint="eastAsia" w:ascii="仿宋" w:hAnsi="仿宋" w:eastAsia="仿宋"/>
          <w:color w:val="auto"/>
          <w:sz w:val="24"/>
          <w:szCs w:val="24"/>
          <w:highlight w:val="none"/>
        </w:rPr>
        <w:t>，具备相应的维护保养</w:t>
      </w:r>
      <w:r>
        <w:rPr>
          <w:rFonts w:hint="eastAsia" w:ascii="仿宋" w:hAnsi="仿宋" w:eastAsia="仿宋"/>
          <w:color w:val="auto"/>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2023</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3</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10</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lang w:val="en-US" w:eastAsia="zh-CN"/>
        </w:rPr>
        <w:t>上</w:t>
      </w:r>
      <w:r>
        <w:rPr>
          <w:rFonts w:hint="eastAsia" w:ascii="仿宋" w:hAnsi="仿宋" w:eastAsia="仿宋"/>
          <w:color w:val="auto"/>
          <w:sz w:val="24"/>
          <w:szCs w:val="24"/>
          <w:shd w:val="clear" w:color="auto" w:fill="FFFFFF"/>
        </w:rPr>
        <w:t>午</w:t>
      </w:r>
      <w:r>
        <w:rPr>
          <w:rFonts w:hint="eastAsia" w:ascii="仿宋" w:hAnsi="仿宋" w:eastAsia="仿宋"/>
          <w:color w:val="auto"/>
          <w:sz w:val="24"/>
          <w:szCs w:val="24"/>
          <w:shd w:val="clear" w:color="auto" w:fill="FFFFFF"/>
          <w:lang w:val="en-US" w:eastAsia="zh-CN"/>
        </w:rPr>
        <w:t>10</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lang w:val="en-US" w:eastAsia="zh-CN"/>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val="en-US" w:eastAsia="zh-CN"/>
        </w:rPr>
        <w:t>郑州城轨交通中等专业学校行政楼二楼采购管理科办公室。联系人：王景 联系电话：18860366321。项目勘查联系人：张银梁  13030362600。</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w:t>
      </w:r>
      <w:r>
        <w:rPr>
          <w:rFonts w:hint="eastAsia" w:ascii="仿宋" w:hAnsi="仿宋" w:eastAsia="仿宋" w:cstheme="minorBidi"/>
          <w:color w:val="auto"/>
          <w:sz w:val="24"/>
          <w:szCs w:val="24"/>
          <w:lang w:val="en-US" w:eastAsia="zh-CN" w:bidi="ar-SA"/>
        </w:rPr>
        <w:t>联系人：王景 联系电话：18860366321</w:t>
      </w:r>
      <w:r>
        <w:rPr>
          <w:rFonts w:hint="eastAsia" w:ascii="仿宋" w:hAnsi="仿宋" w:eastAsia="仿宋"/>
          <w:color w:val="auto"/>
          <w:sz w:val="24"/>
          <w:szCs w:val="24"/>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9"/>
          <w:rFonts w:hint="eastAsia" w:ascii="仿宋" w:hAnsi="仿宋" w:eastAsia="仿宋"/>
          <w:color w:val="auto"/>
          <w:sz w:val="24"/>
          <w:szCs w:val="24"/>
        </w:rPr>
        <w:t>www.ceghqxz.com</w:t>
      </w:r>
      <w:r>
        <w:rPr>
          <w:rStyle w:val="9"/>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hint="eastAsia" w:ascii="仿宋" w:hAnsi="仿宋" w:eastAsia="仿宋"/>
          <w:color w:val="auto"/>
          <w:sz w:val="24"/>
          <w:szCs w:val="24"/>
        </w:rPr>
        <w:sectPr>
          <w:headerReference r:id="rId6" w:type="first"/>
          <w:headerReference r:id="rId5" w:type="default"/>
          <w:pgSz w:w="11906" w:h="16838"/>
          <w:pgMar w:top="1440" w:right="1133" w:bottom="1440" w:left="993" w:header="851" w:footer="227" w:gutter="0"/>
          <w:pgNumType w:fmt="decimal"/>
          <w:cols w:space="425" w:num="1"/>
          <w:titlePg/>
          <w:docGrid w:type="lines" w:linePitch="312" w:charSpace="0"/>
        </w:sectPr>
      </w:pP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11"/>
        <w:keepNext w:val="0"/>
        <w:keepLines w:val="0"/>
        <w:pageBreakBefore w:val="0"/>
        <w:widowControl w:val="0"/>
        <w:numPr>
          <w:ilvl w:val="3"/>
          <w:numId w:val="4"/>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val="en-US" w:eastAsia="zh-CN"/>
        </w:rPr>
        <w:t>至少2年</w:t>
      </w:r>
      <w:r>
        <w:rPr>
          <w:rFonts w:hint="eastAsia" w:ascii="仿宋" w:hAnsi="仿宋" w:eastAsia="仿宋"/>
          <w:sz w:val="24"/>
          <w:szCs w:val="24"/>
          <w:lang w:eastAsia="zh-CN"/>
        </w:rPr>
        <w:t>；</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培训计划及人员安排：</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主要零配件及易耗品价格：</w:t>
      </w:r>
    </w:p>
    <w:p>
      <w:pPr>
        <w:pStyle w:val="11"/>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11"/>
        <w:numPr>
          <w:ilvl w:val="0"/>
          <w:numId w:val="5"/>
        </w:numPr>
        <w:spacing w:after="0" w:line="500" w:lineRule="exact"/>
        <w:ind w:left="851" w:hanging="425" w:firstLineChars="0"/>
        <w:jc w:val="left"/>
        <w:rPr>
          <w:rFonts w:ascii="仿宋" w:hAnsi="仿宋" w:eastAsia="仿宋"/>
          <w:color w:val="FF0000"/>
          <w:sz w:val="24"/>
          <w:szCs w:val="24"/>
        </w:rPr>
      </w:pPr>
      <w:r>
        <w:rPr>
          <w:rFonts w:hint="eastAsia" w:ascii="仿宋" w:hAnsi="仿宋" w:eastAsia="仿宋"/>
          <w:color w:val="FF0000"/>
          <w:sz w:val="24"/>
          <w:szCs w:val="24"/>
        </w:rPr>
        <w:t>本项目为自有资金而非财政性资金采购，采购人按企业内部规定的标准进行评定</w:t>
      </w:r>
      <w:r>
        <w:rPr>
          <w:rFonts w:ascii="仿宋" w:hAnsi="仿宋" w:eastAsia="仿宋"/>
          <w:color w:val="FF0000"/>
          <w:sz w:val="24"/>
          <w:szCs w:val="24"/>
        </w:rPr>
        <w:t xml:space="preserve"> </w:t>
      </w:r>
      <w:r>
        <w:rPr>
          <w:rFonts w:hint="eastAsia" w:ascii="仿宋" w:hAnsi="仿宋" w:eastAsia="仿宋"/>
          <w:color w:val="FF0000"/>
          <w:sz w:val="24"/>
          <w:szCs w:val="24"/>
        </w:rPr>
        <w:t>。</w:t>
      </w:r>
    </w:p>
    <w:p>
      <w:pPr>
        <w:pStyle w:val="11"/>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11"/>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11"/>
        <w:spacing w:after="0" w:line="500" w:lineRule="exact"/>
        <w:ind w:left="851" w:firstLine="0" w:firstLineChars="0"/>
        <w:jc w:val="left"/>
        <w:rPr>
          <w:rFonts w:ascii="仿宋" w:hAnsi="仿宋" w:eastAsia="仿宋"/>
          <w:sz w:val="24"/>
          <w:szCs w:val="24"/>
        </w:rPr>
      </w:pPr>
    </w:p>
    <w:p>
      <w:pPr>
        <w:pStyle w:val="11"/>
        <w:spacing w:after="0" w:line="500" w:lineRule="exact"/>
        <w:ind w:left="851" w:firstLine="0" w:firstLineChars="0"/>
        <w:jc w:val="left"/>
        <w:rPr>
          <w:rFonts w:ascii="仿宋" w:hAnsi="仿宋" w:eastAsia="仿宋"/>
          <w:sz w:val="24"/>
          <w:szCs w:val="24"/>
        </w:rPr>
      </w:pPr>
    </w:p>
    <w:p>
      <w:pPr>
        <w:pStyle w:val="11"/>
        <w:spacing w:after="0" w:line="500" w:lineRule="exact"/>
        <w:ind w:left="0" w:leftChars="0" w:firstLine="0" w:firstLineChars="0"/>
        <w:jc w:val="left"/>
        <w:rPr>
          <w:rFonts w:hint="eastAsia" w:ascii="仿宋" w:hAnsi="仿宋" w:eastAsia="仿宋"/>
          <w:b/>
          <w:color w:val="FF0000"/>
          <w:sz w:val="44"/>
          <w:szCs w:val="44"/>
        </w:rPr>
      </w:pPr>
    </w:p>
    <w:p>
      <w:pPr>
        <w:pStyle w:val="11"/>
        <w:spacing w:after="0" w:line="500" w:lineRule="exact"/>
        <w:ind w:left="0" w:leftChars="0" w:firstLine="0" w:firstLineChars="0"/>
        <w:jc w:val="left"/>
        <w:rPr>
          <w:rFonts w:hint="eastAsia" w:ascii="仿宋" w:hAnsi="仿宋" w:eastAsia="仿宋"/>
          <w:b/>
          <w:color w:val="FF0000"/>
          <w:sz w:val="44"/>
          <w:szCs w:val="44"/>
        </w:rPr>
      </w:pPr>
    </w:p>
    <w:p>
      <w:pPr>
        <w:pStyle w:val="11"/>
        <w:spacing w:after="0" w:line="500" w:lineRule="exact"/>
        <w:ind w:left="0" w:leftChars="0" w:firstLine="0" w:firstLineChars="0"/>
        <w:jc w:val="left"/>
        <w:rPr>
          <w:rFonts w:hint="eastAsia" w:ascii="仿宋" w:hAnsi="仿宋" w:eastAsia="仿宋"/>
          <w:b/>
          <w:color w:val="FF0000"/>
          <w:sz w:val="44"/>
          <w:szCs w:val="44"/>
        </w:rPr>
        <w:sectPr>
          <w:headerReference r:id="rId8" w:type="first"/>
          <w:headerReference r:id="rId7" w:type="default"/>
          <w:pgSz w:w="11906" w:h="16838"/>
          <w:pgMar w:top="1440" w:right="1133" w:bottom="1440" w:left="993" w:header="851" w:footer="227" w:gutter="0"/>
          <w:pgNumType w:fmt="decimal" w:start="1"/>
          <w:cols w:space="425" w:num="1"/>
          <w:titlePg/>
          <w:docGrid w:type="lines" w:linePitch="312" w:charSpace="0"/>
        </w:sectPr>
      </w:pPr>
    </w:p>
    <w:p>
      <w:pPr>
        <w:pStyle w:val="11"/>
        <w:spacing w:after="0" w:line="500" w:lineRule="exact"/>
        <w:ind w:left="0" w:leftChars="0" w:firstLine="0" w:firstLineChars="0"/>
        <w:jc w:val="center"/>
        <w:rPr>
          <w:rFonts w:hint="eastAsia" w:ascii="仿宋" w:hAnsi="仿宋" w:eastAsia="仿宋"/>
          <w:b/>
          <w:color w:val="auto"/>
          <w:sz w:val="44"/>
          <w:szCs w:val="44"/>
        </w:rPr>
      </w:pPr>
      <w:r>
        <w:rPr>
          <w:rFonts w:hint="eastAsia" w:ascii="仿宋" w:hAnsi="仿宋" w:eastAsia="仿宋"/>
          <w:b/>
          <w:color w:val="auto"/>
          <w:sz w:val="44"/>
          <w:szCs w:val="44"/>
        </w:rPr>
        <w:t>公开询价货物一览表</w:t>
      </w:r>
      <w:bookmarkEnd w:id="45"/>
    </w:p>
    <w:tbl>
      <w:tblPr>
        <w:tblW w:w="9660"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46"/>
        <w:gridCol w:w="756"/>
        <w:gridCol w:w="1050"/>
        <w:gridCol w:w="2889"/>
        <w:gridCol w:w="666"/>
        <w:gridCol w:w="718"/>
        <w:gridCol w:w="826"/>
        <w:gridCol w:w="1053"/>
        <w:gridCol w:w="1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9665" w:type="dxa"/>
            <w:gridSpan w:val="9"/>
            <w:tcBorders>
              <w:top w:val="single" w:color="000000" w:sz="8" w:space="0"/>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bdr w:val="none" w:color="auto" w:sz="0" w:space="0"/>
                <w:lang w:val="en-US" w:eastAsia="zh-CN" w:bidi="ar"/>
              </w:rPr>
              <w:t>脉冲电子围栏配置表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4020" w:type="dxa"/>
            <w:gridSpan w:val="2"/>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脉冲电子围栏项目</w:t>
            </w:r>
          </w:p>
        </w:tc>
        <w:tc>
          <w:tcPr>
            <w:tcW w:w="2223" w:type="dxa"/>
            <w:gridSpan w:val="3"/>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支撑杆间距（米）：</w:t>
            </w:r>
          </w:p>
        </w:tc>
        <w:tc>
          <w:tcPr>
            <w:tcW w:w="1080"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1281"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联系人、电话：</w:t>
            </w:r>
          </w:p>
        </w:tc>
        <w:tc>
          <w:tcPr>
            <w:tcW w:w="4020" w:type="dxa"/>
            <w:gridSpan w:val="2"/>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22"/>
                <w:szCs w:val="22"/>
                <w:u w:val="none"/>
              </w:rPr>
            </w:pP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出入口数量（个）：</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周界长度（米）：</w:t>
            </w:r>
          </w:p>
        </w:tc>
        <w:tc>
          <w:tcPr>
            <w:tcW w:w="4020"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2500</w:t>
            </w: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转角数量（90度）（个）：</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防区数量（个）：</w:t>
            </w:r>
          </w:p>
        </w:tc>
        <w:tc>
          <w:tcPr>
            <w:tcW w:w="4020"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围栏合金线数（线）</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序号</w:t>
            </w:r>
          </w:p>
        </w:tc>
        <w:tc>
          <w:tcPr>
            <w:tcW w:w="4020"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型号</w:t>
            </w:r>
          </w:p>
        </w:tc>
        <w:tc>
          <w:tcPr>
            <w:tcW w:w="1375"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w:t>
            </w:r>
          </w:p>
        </w:tc>
        <w:tc>
          <w:tcPr>
            <w:tcW w:w="1928"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单价</w:t>
            </w:r>
          </w:p>
        </w:tc>
        <w:tc>
          <w:tcPr>
            <w:tcW w:w="1281"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产品外观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电子围栏探测器</w:t>
            </w:r>
          </w:p>
        </w:tc>
        <w:tc>
          <w:tcPr>
            <w:tcW w:w="1281" w:type="dxa"/>
            <w:tcBorders>
              <w:top w:val="nil"/>
              <w:left w:val="nil"/>
              <w:bottom w:val="single" w:color="000000" w:sz="8" w:space="0"/>
              <w:right w:val="single" w:color="000000" w:sz="8" w:space="0"/>
            </w:tcBorders>
            <w:shd w:val="clear" w:color="auto" w:fill="FFCC99"/>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网络智能型单防区主机（4/6线）</w:t>
            </w: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1.提供制造厂商针对本项目的授权书原件；</w:t>
            </w:r>
          </w:p>
        </w:tc>
        <w:tc>
          <w:tcPr>
            <w:tcW w:w="646"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2.提供制造厂商针对本项目的售后服务承诺函；</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3.脉冲电压峰值应满足，单线对地：≥4KV且≤5KV,相邻二线：≤10KV；</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4.每根合金线任意位置上测量电压应为4KV～10KV的脉冲电压；</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5.脉冲电流峰值应满足，≤10A（0.3ms以上时&lt;300mA）；</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6.脉冲间隔时间应满足，≥1.0S且≤3.0S</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7.脉冲持续时间应满足，≤0.1S，且超过300 mA的持续时间不大于1.5ms；</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8.每个脉冲最大电量应满足，≤2.5mC；</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9.每个脉冲最大输出能量应满足，≤5.0J；</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10.应能够检测出脉冲电子围栏前端每根金属导体断路、任意相邻两根金属导体短路的情况；</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11.短路报警时，3S内应发出报警信号；断路报警时，3S内应发出报警信号；</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1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12.应具备中文菜单操作功能，可通过内置键或键盘进行操作，并可通过自带显示屏显示状态、数值等，显示屏尺寸不小于3.5寸；</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13.应可设置高低电压输出值；</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14.应可设置触网灵敏度阈值；</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15.应可设置报警输出时长；</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16.应具有上电自检和自诊断能力；</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应支持掉电记忆功能，上电后直接恢复到断电之前的工作状态；</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17.具有警号输出接口，可直接驱动报警警号（最大输出电压可达 15V，最大输出电流可达 1.5A）</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18.应具备TCP/IP通信接口，可设置本机IP地址、网关地址等；</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网络智能型双防区主机（4/6线）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1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高压避雷器-含不锈钢支架</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绝缘层抗脉冲电压应不小于15KV，芯线部分应与前端金属导线采用相同的材质</w:t>
            </w:r>
          </w:p>
        </w:tc>
        <w:tc>
          <w:tcPr>
            <w:tcW w:w="646"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主机防水箱(不锈钢）</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1.材质：SUS304不锈钢材质，防水等级大于IP66；</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2.功能：对主机等附属设备起到防水防尘和防盗功能，且具有防拆报警功能</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双层绝缘高压导线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双层绝缘护套，</w:t>
            </w:r>
            <w:r>
              <w:rPr>
                <w:rStyle w:val="26"/>
                <w:rFonts w:eastAsia="宋体"/>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1.8mm,单股合金丝内芯，规格：100米/卷</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旋转警灯(LED)-含支架</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1.额定电压：DC 12V </w:t>
            </w:r>
            <w:r>
              <w:rPr>
                <w:rFonts w:hint="eastAsia" w:ascii="宋体" w:hAnsi="宋体" w:eastAsia="宋体" w:cs="宋体"/>
                <w:i w:val="0"/>
                <w:iCs w:val="0"/>
                <w:color w:val="000000"/>
                <w:kern w:val="0"/>
                <w:sz w:val="18"/>
                <w:szCs w:val="18"/>
                <w:u w:val="none"/>
                <w:bdr w:val="none" w:color="auto" w:sz="0" w:space="0"/>
                <w:lang w:val="en-US" w:eastAsia="zh-CN" w:bidi="ar"/>
              </w:rPr>
              <w:t xml:space="preserve"> 喇叭分贝：90 分贝</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只</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2.防水等级：IP55</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3.灯源：LED </w:t>
            </w:r>
            <w:r>
              <w:rPr>
                <w:rFonts w:hint="eastAsia" w:ascii="宋体" w:hAnsi="宋体" w:eastAsia="宋体" w:cs="宋体"/>
                <w:i w:val="0"/>
                <w:iCs w:val="0"/>
                <w:color w:val="000000"/>
                <w:kern w:val="0"/>
                <w:sz w:val="18"/>
                <w:szCs w:val="18"/>
                <w:u w:val="none"/>
                <w:bdr w:val="none" w:color="auto" w:sz="0" w:space="0"/>
                <w:lang w:val="en-US" w:eastAsia="zh-CN" w:bidi="ar"/>
              </w:rPr>
              <w:t xml:space="preserve"> 功率：10W</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73"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铝合金终端杆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应采用铝合金材质，管径</w:t>
            </w:r>
            <w:r>
              <w:rPr>
                <w:rStyle w:val="26"/>
                <w:rFonts w:eastAsia="宋体"/>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32mm，长度L≥850mm,壁厚≥3mm，永不生锈</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45</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终端杆绝缘子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 绝缘好、抗氧化、防腐蚀</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8"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铝合金承力杆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应采用铝合金材质，管径</w:t>
            </w:r>
            <w:r>
              <w:rPr>
                <w:rStyle w:val="26"/>
                <w:rFonts w:eastAsia="宋体"/>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25mm，长度L≥850mm,壁厚≥2mm，永久不生锈</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承力杆绝缘子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 绝缘好、抗氧化、防腐蚀</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292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铝合金中间杆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采用铝合金材质，长850mm、直径12.5mm；含防水帽</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383</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12.5中间杆套筒</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尼龙材质，用于万向底座与中间杆的固定，高强度、耐腐蚀，适用直径12.5mm管件</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383</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套</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中间杆绝缘子-迷你型</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PP材质，迷你型，耐受电压15kV，适用直径12.5mm管件</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1532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万向底座（铝型材）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铝合金材质，高强度型材加工；多角度可调，壁厚3mm，尺寸：90mm*86mm*30mm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546</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片</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73"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专用合金丝</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铝镁合金材质，多股，线径</w:t>
            </w:r>
            <w:r>
              <w:rPr>
                <w:rStyle w:val="26"/>
                <w:rFonts w:eastAsia="宋体"/>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1.8mm，规格400米/卷</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线线连接器</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铝合金材质，双锁扣，固定防区末端的合金线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360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警示牌</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PVC材质，黄色，双面显示，尺寸：140*200mm，卡扣式；平均10米安装一块</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块</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A1</w:t>
            </w:r>
          </w:p>
        </w:tc>
        <w:tc>
          <w:tcPr>
            <w:tcW w:w="6856" w:type="dxa"/>
            <w:gridSpan w:val="6"/>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前端设备合计：</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FF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后端报警主机</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FF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8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报警主机</w:t>
            </w:r>
          </w:p>
        </w:tc>
        <w:tc>
          <w:tcPr>
            <w:tcW w:w="1080" w:type="dxa"/>
            <w:vMerge w:val="restart"/>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1.总线/TCP/IP网络双功能报警主机，总线为标准485通信，最多可扩展到248个防区，总线距离可达2500米；</w:t>
            </w:r>
          </w:p>
        </w:tc>
        <w:tc>
          <w:tcPr>
            <w:tcW w:w="646"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2.可外扩网络模块，与网络型地址模块、报警软件相连；</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 xml:space="preserve">3.支持多键盘控制，支持遥控器撤布防，支持设备分区管理,支持微信控制。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 xml:space="preserve">4.具有遥控器控制功能，无线接收频率 315MHz；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5.多路报警：当控制指示设备的多个探测回路依次或同时被触发时，不应该产生漏报警。 </w:t>
            </w:r>
            <w:r>
              <w:rPr>
                <w:rFonts w:hint="eastAsia" w:ascii="宋体" w:hAnsi="宋体" w:eastAsia="宋体" w:cs="宋体"/>
                <w:i w:val="0"/>
                <w:iCs w:val="0"/>
                <w:color w:val="000000"/>
                <w:kern w:val="0"/>
                <w:sz w:val="18"/>
                <w:szCs w:val="18"/>
                <w:u w:val="none"/>
                <w:bdr w:val="none" w:color="auto" w:sz="0" w:space="0"/>
                <w:lang w:val="en-US" w:eastAsia="zh-CN" w:bidi="ar"/>
              </w:rPr>
              <w:t xml:space="preserve">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6.报警时间：警报声响持续时间应不小于90s全不大于15min。</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7.可电话拔号通过CID格式上报接警平台。</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8.产品预留有4G接口，为以后与软件或服务器提供4G通信。</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9.报警主机：DC13.8V/2A供电；</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10.支持键盘数：8个，独立操作；</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11.子系统：8个独立（1个公共）；</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12.继电器输出模块：可通过总线扩展灯控模块、电子地图、视频联动模块</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13.可通过RS232或IP实现与中心软件计算机连接</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14.本主机可自动存储3000条报警及撤布防信息（断电不丢失）</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声光警号</w:t>
            </w:r>
          </w:p>
        </w:tc>
        <w:tc>
          <w:tcPr>
            <w:tcW w:w="1080"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用于报警中心报警；</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视频联动（16路）</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通讯方式：RS485/网络；</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台</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设备尺寸：240*121*49mm；</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设备供电：DC12V；</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设备功率：4W；</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端口说明： NC: 常闭开关量信号端口，用于接常闭型报警输入设备的一端；</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电子地图</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材质：铝合金边幅 </w:t>
            </w:r>
            <w:r>
              <w:rPr>
                <w:rFonts w:hint="eastAsia" w:ascii="宋体" w:hAnsi="宋体" w:eastAsia="宋体" w:cs="宋体"/>
                <w:i w:val="0"/>
                <w:iCs w:val="0"/>
                <w:color w:val="000000"/>
                <w:kern w:val="0"/>
                <w:sz w:val="18"/>
                <w:szCs w:val="18"/>
                <w:u w:val="none"/>
                <w:bdr w:val="none" w:color="auto" w:sz="0" w:space="0"/>
                <w:lang w:val="en-US" w:eastAsia="zh-CN" w:bidi="ar"/>
              </w:rPr>
              <w:t xml:space="preserve"> 规格：600*800mm</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14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多级电子地图定位、显示:任意多级电子地图显示，可以在地图上设置用户、报警点等，可以通过地图直观显示各种设备的状态，纯矢量化电子地图，无级矢量缩放，图层数量无限</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2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电子围栏软件</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1.具有对张力报警主机的布防、撤防等远程控制功能；</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54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2.具有对设备管理、用户权限管理、日志管理等参数配置。防区报警后会自动产生报警记录，记录报警防区各种信息。用户可对警情进行分析、处理，并将结果记录到系统中；</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3.提供视频联动复核功能（不得通过NVR来实现），报警后可在管理软件上浏览报警区域视频图像并存储该段报警视频；（提供现场功能演示）；</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4.支持接入第三方监控管理平台，向其上传报警信号；</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Style w:val="27"/>
                <w:bdr w:val="none" w:color="auto" w:sz="0" w:space="0"/>
                <w:lang w:val="en-US" w:eastAsia="zh-CN" w:bidi="ar"/>
              </w:rPr>
              <w:t>5.控制中心通过以太网远程操作前端站点区的布防与撤防（可以单个或多个操作）；</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Style w:val="27"/>
                <w:bdr w:val="none" w:color="auto" w:sz="0" w:space="0"/>
                <w:lang w:val="en-US" w:eastAsia="zh-CN" w:bidi="ar"/>
              </w:rPr>
              <w:t>6.具有报警数据保存查询功能，可查看报警站点、防区、报警类型与报警时间；自定义报警记录与系统日志的保存期限，自动清除超期记录；</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7.支持接入钉钉管理平台，报警信息可通过钉钉推送给相关管理人员；（提供现场功能演示）；</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80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Style w:val="27"/>
                <w:bdr w:val="none" w:color="auto" w:sz="0" w:space="0"/>
                <w:lang w:val="en-US" w:eastAsia="zh-CN" w:bidi="ar"/>
              </w:rPr>
              <w:t>8.具有与订制电子地图联动、视频联动信号输出功能；可以远程设置防区通讯模块地址；可按防区绘制周界，报警时直观呈现出报警防区范围；联动打印机，实现报警即打印报警记录；实现监控视频实时预览。</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9.支持两级报警联网，轻松建设本地管理平台、集中管理平台</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ABT两光束 红外对射</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室外警戒距离：0-150米；</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红外光束数量：2光束；</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探测报警方式：红外光遮挡报警；</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光源：普通数字滤波式光源；</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感应速度：35-700m/sec；</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报警输出：常开/常闭可选；</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工作电流：200mA/对；</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工作电压：DC12-18V；</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工作温度：-20℃~55℃；</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工作湿度：相对湿度≤95% 非凝露；</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重量：0.8Kg；</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红外对射支架</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工艺升级，两光束不锈钢 L型对射安装支架，30CM；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单防区地址模块</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单地址码模块，配套总线或网络报警系统使用</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A2</w:t>
            </w:r>
          </w:p>
        </w:tc>
        <w:tc>
          <w:tcPr>
            <w:tcW w:w="6856" w:type="dxa"/>
            <w:gridSpan w:val="6"/>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后端设备合计：</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辅材部分</w:t>
            </w:r>
          </w:p>
        </w:tc>
        <w:tc>
          <w:tcPr>
            <w:tcW w:w="1281" w:type="dxa"/>
            <w:tcBorders>
              <w:top w:val="nil"/>
              <w:left w:val="nil"/>
              <w:bottom w:val="single" w:color="000000" w:sz="8" w:space="0"/>
              <w:right w:val="single" w:color="000000" w:sz="8" w:space="0"/>
            </w:tcBorders>
            <w:shd w:val="clear" w:color="auto" w:fill="FFCC99"/>
            <w:vAlign w:val="center"/>
          </w:tcPr>
          <w:p>
            <w:pPr>
              <w:jc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空气开关</w:t>
            </w: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小型断路器，磁吹断路器，极数2P，额定电流10A</w:t>
            </w:r>
          </w:p>
        </w:tc>
        <w:tc>
          <w:tcPr>
            <w:tcW w:w="646"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接地桩</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角铁，上有接线孔，规格30*30*3*750mm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接地线(铜芯）</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单股铜导线，4平方，规格1*2.25MM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蓄电池</w:t>
            </w:r>
          </w:p>
        </w:tc>
        <w:tc>
          <w:tcPr>
            <w:tcW w:w="1080"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断电时，给探测器和报警主机供电；</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块</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电源线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规格：RVV2*1.5；</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信号线/光纤</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规格：RVV2*1.5/单模24芯；</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光电</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单模光电转换器（规格；千兆一光四电）；</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交换机</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8口千兆；</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超五类网线（规格；305米/箱）；</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箱</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管材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规格：PVC25/镀锌25；</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辅助材料</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弯头、套管、扎带、胶布、膨胀螺丝等施工用辅料；</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B1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辅材合计：</w:t>
            </w:r>
          </w:p>
        </w:tc>
        <w:tc>
          <w:tcPr>
            <w:tcW w:w="6243" w:type="dxa"/>
            <w:gridSpan w:val="5"/>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设备总价</w:t>
            </w:r>
          </w:p>
        </w:tc>
        <w:tc>
          <w:tcPr>
            <w:tcW w:w="5163" w:type="dxa"/>
            <w:gridSpan w:val="4"/>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前端+后端+辅材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C</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电子围栏、综合布线施工费、技术服务培训费</w:t>
            </w: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周界总长：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（含挖沟，回填，软件技术服务培训等）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5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硬化路面破路施工</w:t>
            </w: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（含破除，开挖及恢复等）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光纤熔纤费</w:t>
            </w:r>
          </w:p>
        </w:tc>
        <w:tc>
          <w:tcPr>
            <w:tcW w:w="294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w:t>
            </w:r>
          </w:p>
        </w:tc>
        <w:tc>
          <w:tcPr>
            <w:tcW w:w="729"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C1</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施工合计</w:t>
            </w:r>
          </w:p>
        </w:tc>
        <w:tc>
          <w:tcPr>
            <w:tcW w:w="5163" w:type="dxa"/>
            <w:gridSpan w:val="4"/>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D</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总费用合计（含税）</w:t>
            </w:r>
          </w:p>
        </w:tc>
        <w:tc>
          <w:tcPr>
            <w:tcW w:w="5163" w:type="dxa"/>
            <w:gridSpan w:val="4"/>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前端+后端+辅材+施工</w:t>
            </w:r>
          </w:p>
        </w:tc>
        <w:tc>
          <w:tcPr>
            <w:tcW w:w="2361" w:type="dxa"/>
            <w:gridSpan w:val="2"/>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使用需求：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1，</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无盲区、无死角、无漏洞。前端围栏是有形的围栏，可以随着地形高低起伏架设。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零误报率，可靠性高(克服传统的红外、感应、振动电缆等技术缺陷，报警基本不受气候、地形、树木、小动物等影响。)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权威检测，在确保防护强度前提下对人体无伤害，安全可靠、能够真正实现阻挡、威慑和报警。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技术方案：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1，周界围墙电子围栏的安装避免出现盲区和死角，防区划分有利于报警时准确定位，且不大于100m，并设置为不可撤防模式；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平行相邻的围栏之间距离不大于200mm±20mm；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3，安装在周界围墙上端时，最上一根围栏与封闭屏障顶端的间距不小于750mm，最下一根围栏与封闭屏障顶端的间距不大于150mm±20mm；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脉冲式电子围栏上有明显的警告用安全标志</w:t>
            </w:r>
            <w:r>
              <w:rPr>
                <w:rFonts w:hint="eastAsia" w:ascii="宋体" w:hAnsi="宋体" w:eastAsia="宋体" w:cs="宋体"/>
                <w:b/>
                <w:bCs/>
                <w:i w:val="0"/>
                <w:iCs w:val="0"/>
                <w:color w:val="FF0000"/>
                <w:kern w:val="0"/>
                <w:sz w:val="22"/>
                <w:szCs w:val="22"/>
                <w:u w:val="none"/>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4，</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防盗报警控制器能接收入侵探测器和紧急报警装置发出的报警及故障信号，具有布防和撤防、不可撤防模式、外出与进入延迟的设置和编程，以及自检、防破坏、声光报警、报警记录与储存、打印输出、密码操作保护等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5" w:hRule="atLeast"/>
        </w:trPr>
        <w:tc>
          <w:tcPr>
            <w:tcW w:w="9665" w:type="dxa"/>
            <w:gridSpan w:val="9"/>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5，</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报警器安装在无人看守的场所其报警声压不小于100dB（A），报警持续时间不小于20min，并可调整持续时间。</w:t>
            </w:r>
          </w:p>
        </w:tc>
      </w:tr>
    </w:tbl>
    <w:p>
      <w:pPr>
        <w:pStyle w:val="11"/>
        <w:spacing w:after="0" w:line="500" w:lineRule="exact"/>
        <w:ind w:left="0" w:leftChars="0" w:firstLine="0" w:firstLineChars="0"/>
        <w:jc w:val="center"/>
        <w:rPr>
          <w:rFonts w:hint="eastAsia" w:ascii="仿宋" w:hAnsi="仿宋" w:eastAsia="仿宋"/>
          <w:b/>
          <w:color w:val="auto"/>
          <w:sz w:val="44"/>
          <w:szCs w:val="44"/>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w:t>
      </w:r>
      <w:r>
        <w:rPr>
          <w:rFonts w:hint="eastAsia" w:ascii="仿宋" w:hAnsi="仿宋" w:eastAsia="仿宋"/>
          <w:bCs/>
          <w:sz w:val="24"/>
          <w:szCs w:val="24"/>
          <w:lang w:val="en-US" w:eastAsia="zh-CN"/>
        </w:rPr>
        <w:t>使用</w:t>
      </w:r>
      <w:r>
        <w:rPr>
          <w:rFonts w:hint="eastAsia" w:ascii="仿宋" w:hAnsi="仿宋" w:eastAsia="仿宋"/>
          <w:bCs/>
          <w:sz w:val="24"/>
          <w:szCs w:val="24"/>
        </w:rPr>
        <w:t>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pStyle w:val="2"/>
        <w:rPr>
          <w:rFonts w:hint="default" w:eastAsia="仿宋"/>
          <w:lang w:val="en-US" w:eastAsia="zh-CN"/>
        </w:rPr>
      </w:pPr>
      <w:r>
        <w:rPr>
          <w:rFonts w:hint="eastAsia" w:ascii="仿宋" w:hAnsi="仿宋" w:eastAsia="仿宋"/>
          <w:bCs/>
          <w:sz w:val="24"/>
          <w:szCs w:val="24"/>
          <w:lang w:eastAsia="zh-CN"/>
        </w:rPr>
        <w:t>（</w:t>
      </w:r>
      <w:r>
        <w:rPr>
          <w:rFonts w:hint="eastAsia" w:ascii="仿宋" w:hAnsi="仿宋" w:eastAsia="仿宋"/>
          <w:bCs/>
          <w:sz w:val="24"/>
          <w:szCs w:val="24"/>
          <w:lang w:val="en-US" w:eastAsia="zh-CN"/>
        </w:rPr>
        <w:t>4）参与人需勘察现场后进行报价，参与人递交响应文件视为对现场清楚了解，参与人可优化调整方案，达到使用人要求。</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10" w:type="first"/>
          <w:headerReference r:id="rId9" w:type="default"/>
          <w:pgSz w:w="11906" w:h="16838"/>
          <w:pgMar w:top="1440" w:right="1133" w:bottom="1440" w:left="993" w:header="851" w:footer="227" w:gutter="0"/>
          <w:pgNumType w:fmt="decimal" w:start="1"/>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center"/>
        <w:rPr>
          <w:rFonts w:ascii="仿宋" w:hAnsi="仿宋" w:eastAsia="仿宋"/>
          <w:b/>
          <w:sz w:val="72"/>
          <w:szCs w:val="72"/>
        </w:rPr>
      </w:pPr>
    </w:p>
    <w:p>
      <w:pPr>
        <w:spacing w:line="1000" w:lineRule="exact"/>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5"/>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6"/>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电子围栏</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12" w:type="first"/>
          <w:headerReference r:id="rId11" w:type="default"/>
          <w:type w:val="continuous"/>
          <w:pgSz w:w="11906" w:h="16838"/>
          <w:pgMar w:top="1440" w:right="1416" w:bottom="1440" w:left="1134" w:header="851" w:footer="227" w:gutter="0"/>
          <w:pgNumType w:fmt="decimal"/>
          <w:cols w:space="425" w:num="1"/>
          <w:titlePg/>
          <w:docGrid w:type="lines" w:linePitch="312" w:charSpace="0"/>
        </w:sectPr>
      </w:pPr>
    </w:p>
    <w:p>
      <w:pPr>
        <w:jc w:val="center"/>
        <w:outlineLvl w:val="1"/>
        <w:rPr>
          <w:rFonts w:ascii="仿宋" w:hAnsi="仿宋" w:eastAsia="仿宋"/>
          <w:b/>
          <w:bCs/>
          <w:sz w:val="24"/>
          <w:szCs w:val="24"/>
        </w:rPr>
      </w:pPr>
      <w:bookmarkStart w:id="47" w:name="_Toc267059653"/>
      <w:bookmarkStart w:id="48" w:name="_Toc181436565"/>
      <w:bookmarkStart w:id="49" w:name="_Toc160880160"/>
      <w:bookmarkStart w:id="50" w:name="_Toc266870432"/>
      <w:bookmarkStart w:id="51" w:name="_Toc267059806"/>
      <w:bookmarkStart w:id="52" w:name="_Toc191802690"/>
      <w:bookmarkStart w:id="53" w:name="_Toc267060453"/>
      <w:bookmarkStart w:id="54" w:name="_Toc267060068"/>
      <w:bookmarkStart w:id="55" w:name="_Toc267059919"/>
      <w:bookmarkStart w:id="56" w:name="_Toc267060208"/>
      <w:bookmarkStart w:id="57" w:name="_Toc273178698"/>
      <w:bookmarkStart w:id="58" w:name="_Toc192663686"/>
      <w:bookmarkStart w:id="59" w:name="_Toc169332838"/>
      <w:bookmarkStart w:id="60" w:name="_Toc230071147"/>
      <w:bookmarkStart w:id="61" w:name="_Toc266870833"/>
      <w:bookmarkStart w:id="62" w:name="_Toc223146608"/>
      <w:bookmarkStart w:id="63" w:name="_Toc193165734"/>
      <w:bookmarkStart w:id="64" w:name="_Toc267059181"/>
      <w:bookmarkStart w:id="65" w:name="_Toc266868670"/>
      <w:bookmarkStart w:id="66" w:name="_Toc251613829"/>
      <w:bookmarkStart w:id="67" w:name="_Toc267059030"/>
      <w:bookmarkStart w:id="68" w:name="_Toc267060321"/>
      <w:bookmarkStart w:id="69" w:name="_Toc255975007"/>
      <w:bookmarkStart w:id="70" w:name="_Toc217891402"/>
      <w:bookmarkStart w:id="71" w:name="_Toc236021449"/>
      <w:bookmarkStart w:id="72" w:name="_Toc232302115"/>
      <w:bookmarkStart w:id="73" w:name="_Toc192996338"/>
      <w:bookmarkStart w:id="74" w:name="_Toc192996446"/>
      <w:bookmarkStart w:id="75" w:name="_Toc258401256"/>
      <w:bookmarkStart w:id="76" w:name="_Toc213755939"/>
      <w:bookmarkStart w:id="77" w:name="_Toc266870907"/>
      <w:bookmarkStart w:id="78" w:name="_Toc235438274"/>
      <w:bookmarkStart w:id="79" w:name="_Toc169332949"/>
      <w:bookmarkStart w:id="80" w:name="_Toc160880529"/>
      <w:bookmarkStart w:id="81" w:name="_Toc191803626"/>
      <w:bookmarkStart w:id="82" w:name="_Toc259692740"/>
      <w:bookmarkStart w:id="83" w:name="_Toc219800243"/>
      <w:bookmarkStart w:id="84" w:name="_Toc266868937"/>
      <w:bookmarkStart w:id="85" w:name="_Toc213755858"/>
      <w:bookmarkStart w:id="86" w:name="_Toc235437991"/>
      <w:bookmarkStart w:id="87" w:name="_Toc180302913"/>
      <w:bookmarkStart w:id="88" w:name="_Toc267059539"/>
      <w:bookmarkStart w:id="89" w:name="_Toc225669322"/>
      <w:bookmarkStart w:id="90" w:name="_Toc259692647"/>
      <w:bookmarkStart w:id="91" w:name="_Toc211917116"/>
      <w:bookmarkStart w:id="92" w:name="_Toc227058530"/>
      <w:bookmarkStart w:id="93" w:name="_Toc235438344"/>
      <w:bookmarkStart w:id="94" w:name="_Toc249325711"/>
      <w:bookmarkStart w:id="95" w:name="_Toc251586231"/>
      <w:bookmarkStart w:id="96" w:name="_Toc177985469"/>
      <w:bookmarkStart w:id="97" w:name="_Toc181436461"/>
      <w:bookmarkStart w:id="98" w:name="_Toc203355733"/>
      <w:bookmarkStart w:id="99" w:name="_Toc213208766"/>
      <w:bookmarkStart w:id="100" w:name="_Toc193160448"/>
      <w:bookmarkStart w:id="101" w:name="_Toc192663835"/>
      <w:bookmarkStart w:id="102" w:name="_Toc253066614"/>
      <w:bookmarkStart w:id="103" w:name="_Toc213756051"/>
      <w:bookmarkStart w:id="104" w:name="_Toc182805217"/>
      <w:bookmarkStart w:id="105" w:name="_Toc191789329"/>
      <w:bookmarkStart w:id="106" w:name="_Toc170798793"/>
      <w:bookmarkStart w:id="107" w:name="_Toc259520865"/>
      <w:bookmarkStart w:id="108" w:name="_Toc254790899"/>
      <w:bookmarkStart w:id="109" w:name="_Toc213755995"/>
      <w:bookmarkStart w:id="110" w:name="_Toc192664153"/>
      <w:bookmarkStart w:id="111" w:name="_Toc191783222"/>
      <w:bookmarkStart w:id="112" w:name="_Toc182372782"/>
      <w:r>
        <w:rPr>
          <w:rFonts w:hint="eastAsia" w:ascii="仿宋" w:hAnsi="仿宋" w:eastAsia="仿宋"/>
          <w:b/>
          <w:bCs/>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rPr>
        <w:t>：</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sz w:val="24"/>
          <w:szCs w:val="24"/>
        </w:rPr>
      </w:pPr>
      <w:r>
        <w:rPr>
          <w:rFonts w:hint="eastAsia" w:ascii="仿宋" w:hAnsi="仿宋" w:eastAsia="仿宋"/>
          <w:sz w:val="24"/>
          <w:szCs w:val="24"/>
        </w:rPr>
        <w:t xml:space="preserve">    4.同意按公开询价文件的规定履行合同责任和义务。</w:t>
      </w:r>
    </w:p>
    <w:p>
      <w:pPr>
        <w:spacing w:after="0" w:line="480" w:lineRule="exact"/>
        <w:ind w:firstLine="480" w:firstLineChars="200"/>
        <w:rPr>
          <w:rFonts w:ascii="仿宋" w:hAnsi="仿宋" w:eastAsia="仿宋"/>
          <w:sz w:val="24"/>
          <w:szCs w:val="24"/>
        </w:rPr>
      </w:pPr>
      <w:r>
        <w:rPr>
          <w:rFonts w:ascii="仿宋" w:hAnsi="仿宋" w:eastAsia="仿宋"/>
          <w:sz w:val="24"/>
          <w:szCs w:val="24"/>
        </w:rPr>
        <w:t>5</w:t>
      </w:r>
      <w:r>
        <w:rPr>
          <w:rFonts w:hint="eastAsia" w:ascii="仿宋" w:hAnsi="仿宋" w:eastAsia="仿宋"/>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FF0000"/>
          <w:sz w:val="24"/>
          <w:szCs w:val="24"/>
        </w:rPr>
      </w:pPr>
      <w:r>
        <w:rPr>
          <w:rFonts w:ascii="仿宋" w:hAnsi="仿宋" w:eastAsia="仿宋"/>
          <w:sz w:val="24"/>
          <w:szCs w:val="24"/>
        </w:rPr>
        <w:t>6.</w:t>
      </w:r>
      <w:r>
        <w:rPr>
          <w:rFonts w:hint="eastAsia" w:ascii="仿宋" w:hAnsi="仿宋" w:eastAsia="仿宋"/>
          <w:color w:val="FF0000"/>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12"/>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jc w:val="center"/>
        <w:outlineLvl w:val="1"/>
        <w:rPr>
          <w:rFonts w:ascii="仿宋" w:hAnsi="仿宋" w:eastAsia="仿宋"/>
          <w:b/>
          <w:bCs/>
          <w:sz w:val="24"/>
          <w:szCs w:val="24"/>
        </w:rPr>
        <w:sectPr>
          <w:headerReference r:id="rId14" w:type="first"/>
          <w:footerReference r:id="rId16" w:type="first"/>
          <w:headerReference r:id="rId13" w:type="default"/>
          <w:footerReference r:id="rId15" w:type="default"/>
          <w:type w:val="continuous"/>
          <w:pgSz w:w="11906" w:h="16838"/>
          <w:pgMar w:top="1440" w:right="1416" w:bottom="1440" w:left="1134" w:header="851" w:footer="992" w:gutter="0"/>
          <w:pgNumType w:fmt="decimal" w:start="1"/>
          <w:cols w:space="425" w:num="1"/>
          <w:titlePg/>
          <w:docGrid w:type="lines" w:linePitch="312" w:charSpace="0"/>
        </w:sect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w:t>
      </w:r>
      <w:bookmarkStart w:id="236" w:name="_GoBack"/>
      <w:bookmarkEnd w:id="236"/>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W w:w="9660"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46"/>
        <w:gridCol w:w="756"/>
        <w:gridCol w:w="1050"/>
        <w:gridCol w:w="2889"/>
        <w:gridCol w:w="666"/>
        <w:gridCol w:w="718"/>
        <w:gridCol w:w="826"/>
        <w:gridCol w:w="1053"/>
        <w:gridCol w:w="1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9665" w:type="dxa"/>
            <w:gridSpan w:val="9"/>
            <w:tcBorders>
              <w:top w:val="single" w:color="000000" w:sz="8" w:space="0"/>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bdr w:val="none" w:color="auto" w:sz="0" w:space="0"/>
                <w:lang w:val="en-US" w:eastAsia="zh-CN" w:bidi="ar"/>
              </w:rPr>
              <w:t>脉冲电子围栏配置表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4020" w:type="dxa"/>
            <w:gridSpan w:val="2"/>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脉冲电子围栏项目</w:t>
            </w:r>
          </w:p>
        </w:tc>
        <w:tc>
          <w:tcPr>
            <w:tcW w:w="2223" w:type="dxa"/>
            <w:gridSpan w:val="3"/>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支撑杆间距（米）：</w:t>
            </w:r>
          </w:p>
        </w:tc>
        <w:tc>
          <w:tcPr>
            <w:tcW w:w="1080"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1281"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联系人、电话：</w:t>
            </w:r>
          </w:p>
        </w:tc>
        <w:tc>
          <w:tcPr>
            <w:tcW w:w="4020" w:type="dxa"/>
            <w:gridSpan w:val="2"/>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22"/>
                <w:szCs w:val="22"/>
                <w:u w:val="none"/>
              </w:rPr>
            </w:pP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出入口数量（个）：</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周界长度（米）：</w:t>
            </w:r>
          </w:p>
        </w:tc>
        <w:tc>
          <w:tcPr>
            <w:tcW w:w="4020"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2500</w:t>
            </w: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转角数量（90度）（个）：</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防区数量（个）：</w:t>
            </w:r>
          </w:p>
        </w:tc>
        <w:tc>
          <w:tcPr>
            <w:tcW w:w="4020"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2223" w:type="dxa"/>
            <w:gridSpan w:val="3"/>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围栏合金线数（线）</w:t>
            </w:r>
          </w:p>
        </w:tc>
        <w:tc>
          <w:tcPr>
            <w:tcW w:w="108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1061"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序号</w:t>
            </w:r>
          </w:p>
        </w:tc>
        <w:tc>
          <w:tcPr>
            <w:tcW w:w="4020"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型号</w:t>
            </w:r>
          </w:p>
        </w:tc>
        <w:tc>
          <w:tcPr>
            <w:tcW w:w="1375"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w:t>
            </w:r>
          </w:p>
        </w:tc>
        <w:tc>
          <w:tcPr>
            <w:tcW w:w="1928" w:type="dxa"/>
            <w:gridSpan w:val="2"/>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单价</w:t>
            </w:r>
          </w:p>
        </w:tc>
        <w:tc>
          <w:tcPr>
            <w:tcW w:w="1281"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产品外观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电子围栏探测器</w:t>
            </w:r>
          </w:p>
        </w:tc>
        <w:tc>
          <w:tcPr>
            <w:tcW w:w="1281" w:type="dxa"/>
            <w:tcBorders>
              <w:top w:val="nil"/>
              <w:left w:val="nil"/>
              <w:bottom w:val="single" w:color="000000" w:sz="8" w:space="0"/>
              <w:right w:val="single" w:color="000000" w:sz="8" w:space="0"/>
            </w:tcBorders>
            <w:shd w:val="clear" w:color="auto" w:fill="FFCC99"/>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网络智能型单防区主机（4/6线）</w:t>
            </w: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1.提供制造厂商针对本项目的授权书原件；</w:t>
            </w:r>
          </w:p>
        </w:tc>
        <w:tc>
          <w:tcPr>
            <w:tcW w:w="646"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2.提供制造厂商针对本项目的售后服务承诺函；</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3.脉冲电压峰值应满足，单线对地：≥4KV且≤5KV,相邻二线：≤10KV；</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4.每根合金线任意位置上测量电压应为4KV～10KV的脉冲电压；</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5.脉冲电流峰值应满足，≤10A（0.3ms以上时&lt;300mA）；</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6.脉冲间隔时间应满足，≥1.0S且≤3.0S</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7.脉冲持续时间应满足，≤0.1S，且超过300 mA的持续时间不大于1.5ms；</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8.每个脉冲最大电量应满足，≤2.5mC；</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9.每个脉冲最大输出能量应满足，≤5.0J；</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10.应能够检测出脉冲电子围栏前端每根金属导体断路、任意相邻两根金属导体短路的情况；</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11.短路报警时，3S内应发出报警信号；断路报警时，3S内应发出报警信号；</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1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12.应具备中文菜单操作功能，可通过内置键或键盘进行操作，并可通过自带显示屏显示状态、数值等，显示屏尺寸不小于3.5寸；</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13.应可设置高低电压输出值；</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14.应可设置触网灵敏度阈值；</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15.应可设置报警输出时长；</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16.应具有上电自检和自诊断能力；</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应支持掉电记忆功能，上电后直接恢复到断电之前的工作状态；</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17.具有警号输出接口，可直接驱动报警警号（最大输出电压可达 15V，最大输出电流可达 1.5A）</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18.应具备TCP/IP通信接口，可设置本机IP地址、网关地址等；</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网络智能型双防区主机（4/6线）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黑体" w:hAnsi="宋体" w:eastAsia="黑体" w:cs="黑体"/>
                <w:i w:val="0"/>
                <w:iCs w:val="0"/>
                <w:color w:val="00008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1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高压避雷器-含不锈钢支架</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绝缘层抗脉冲电压应不小于15KV，芯线部分应与前端金属导线采用相同的材质</w:t>
            </w:r>
          </w:p>
        </w:tc>
        <w:tc>
          <w:tcPr>
            <w:tcW w:w="646"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主机防水箱(不锈钢）</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1.材质：SUS304不锈钢材质，防水等级大于IP66；</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2.功能：对主机等附属设备起到防水防尘和防盗功能，且具有防拆报警功能</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双层绝缘高压导线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双层绝缘护套，</w:t>
            </w:r>
            <w:r>
              <w:rPr>
                <w:rFonts w:ascii="Calibri" w:hAnsi="Calibri" w:eastAsia="宋体" w:cs="Calibri"/>
                <w:i w:val="0"/>
                <w:iCs w:val="0"/>
                <w:color w:val="000000"/>
                <w:kern w:val="0"/>
                <w:sz w:val="18"/>
                <w:szCs w:val="18"/>
                <w:u w:val="none"/>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1.8mm,单股合金丝内芯，规格：100米/卷</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旋转警灯(LED)-含支架</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1.额定电压：DC 12V </w:t>
            </w:r>
            <w:r>
              <w:rPr>
                <w:rFonts w:hint="eastAsia" w:ascii="宋体" w:hAnsi="宋体" w:eastAsia="宋体" w:cs="宋体"/>
                <w:i w:val="0"/>
                <w:iCs w:val="0"/>
                <w:color w:val="000000"/>
                <w:kern w:val="0"/>
                <w:sz w:val="18"/>
                <w:szCs w:val="18"/>
                <w:u w:val="none"/>
                <w:bdr w:val="none" w:color="auto" w:sz="0" w:space="0"/>
                <w:lang w:val="en-US" w:eastAsia="zh-CN" w:bidi="ar"/>
              </w:rPr>
              <w:t xml:space="preserve"> 喇叭分贝：90 分贝</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只</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2.防水等级：IP55</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3.灯源：LED </w:t>
            </w:r>
            <w:r>
              <w:rPr>
                <w:rFonts w:hint="eastAsia" w:ascii="宋体" w:hAnsi="宋体" w:eastAsia="宋体" w:cs="宋体"/>
                <w:i w:val="0"/>
                <w:iCs w:val="0"/>
                <w:color w:val="000000"/>
                <w:kern w:val="0"/>
                <w:sz w:val="18"/>
                <w:szCs w:val="18"/>
                <w:u w:val="none"/>
                <w:bdr w:val="none" w:color="auto" w:sz="0" w:space="0"/>
                <w:lang w:val="en-US" w:eastAsia="zh-CN" w:bidi="ar"/>
              </w:rPr>
              <w:t xml:space="preserve"> 功率：10W</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73"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铝合金终端杆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应采用铝合金材质，管径</w:t>
            </w:r>
            <w:r>
              <w:rPr>
                <w:rFonts w:ascii="Calibri" w:hAnsi="Calibri" w:eastAsia="宋体" w:cs="Calibri"/>
                <w:i w:val="0"/>
                <w:iCs w:val="0"/>
                <w:color w:val="000000"/>
                <w:kern w:val="0"/>
                <w:sz w:val="18"/>
                <w:szCs w:val="18"/>
                <w:u w:val="none"/>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32mm，长度L≥850mm,壁厚≥3mm，永不生锈</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45</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终端杆绝缘子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 绝缘好、抗氧化、防腐蚀</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180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8"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铝合金承力杆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应采用铝合金材质，管径</w:t>
            </w:r>
            <w:r>
              <w:rPr>
                <w:rFonts w:ascii="Calibri" w:hAnsi="Calibri" w:eastAsia="宋体" w:cs="Calibri"/>
                <w:i w:val="0"/>
                <w:iCs w:val="0"/>
                <w:color w:val="000000"/>
                <w:kern w:val="0"/>
                <w:sz w:val="18"/>
                <w:szCs w:val="18"/>
                <w:u w:val="none"/>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25mm，长度L≥850mm,壁厚≥2mm，永久不生锈</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73</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承力杆绝缘子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绝缘层抗脉冲电压应不小于15kV, 绝缘好、抗氧化、防腐蚀</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292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铝合金中间杆</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采用铝合金材质，长850mm、直径12.5mm；含防水帽</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383</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12.5中间杆套筒</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尼龙材质，用于万向底座与中间杆的固定，高强度、耐腐蚀，适用直径12.5mm管件</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383</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套</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中间杆绝缘子-迷你型</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PP材质，迷你型，耐受电压15kV，适用直径12.5mm管件</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1532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万向底座（铝型材）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铝合金材质，高强度型材加工；多角度可调，壁厚3mm，尺寸：90mm*86mm*30mm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546</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片</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73"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15</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专用合金丝</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铝镁合金材质，多股，线径</w:t>
            </w:r>
            <w:r>
              <w:rPr>
                <w:rFonts w:ascii="Calibri" w:hAnsi="Calibri" w:eastAsia="宋体" w:cs="Calibri"/>
                <w:i w:val="0"/>
                <w:iCs w:val="0"/>
                <w:color w:val="000000"/>
                <w:kern w:val="0"/>
                <w:sz w:val="18"/>
                <w:szCs w:val="18"/>
                <w:u w:val="none"/>
                <w:bdr w:val="none" w:color="auto" w:sz="0" w:space="0"/>
                <w:lang w:val="en-US" w:eastAsia="zh-CN" w:bidi="ar"/>
              </w:rPr>
              <w:t>Φ</w:t>
            </w:r>
            <w:r>
              <w:rPr>
                <w:rFonts w:hint="eastAsia" w:ascii="宋体" w:hAnsi="宋体" w:eastAsia="宋体" w:cs="宋体"/>
                <w:i w:val="0"/>
                <w:iCs w:val="0"/>
                <w:color w:val="000000"/>
                <w:kern w:val="0"/>
                <w:sz w:val="18"/>
                <w:szCs w:val="18"/>
                <w:u w:val="none"/>
                <w:bdr w:val="none" w:color="auto" w:sz="0" w:space="0"/>
                <w:lang w:val="en-US" w:eastAsia="zh-CN" w:bidi="ar"/>
              </w:rPr>
              <w:t>1.8mm，规格400米/卷</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线线连接器</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铝合金材质，双锁扣，固定防区末端的合金线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360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警示牌</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PVC材质，黄色，双面显示，尺寸：140*200mm，卡扣式；平均10米安装一块</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块</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8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A1</w:t>
            </w:r>
          </w:p>
        </w:tc>
        <w:tc>
          <w:tcPr>
            <w:tcW w:w="6856" w:type="dxa"/>
            <w:gridSpan w:val="6"/>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前端设备合计：</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FF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后端报警主机</w:t>
            </w: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FF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8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vMerge w:val="restart"/>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报警主机</w:t>
            </w:r>
          </w:p>
        </w:tc>
        <w:tc>
          <w:tcPr>
            <w:tcW w:w="1080" w:type="dxa"/>
            <w:vMerge w:val="restart"/>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1.总线/TCP/IP网络双功能报警主机，总线为标准485通信，最多可扩展到248个防区，总线距离可达2500米；</w:t>
            </w:r>
          </w:p>
        </w:tc>
        <w:tc>
          <w:tcPr>
            <w:tcW w:w="646"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2.可外扩网络模块，与网络型地址模块、报警软件相连；</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 xml:space="preserve">3.支持多键盘控制，支持遥控器撤布防，支持设备分区管理,支持微信控制。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 xml:space="preserve">4.具有遥控器控制功能，无线接收频率 315MHz；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5.多路报警：当控制指示设备的多个探测回路依次或同时被触发时，不应该产生漏报警。 </w:t>
            </w:r>
            <w:r>
              <w:rPr>
                <w:rFonts w:hint="eastAsia" w:ascii="宋体" w:hAnsi="宋体" w:eastAsia="宋体" w:cs="宋体"/>
                <w:i w:val="0"/>
                <w:iCs w:val="0"/>
                <w:color w:val="000000"/>
                <w:kern w:val="0"/>
                <w:sz w:val="18"/>
                <w:szCs w:val="18"/>
                <w:u w:val="none"/>
                <w:bdr w:val="none" w:color="auto" w:sz="0" w:space="0"/>
                <w:lang w:val="en-US" w:eastAsia="zh-CN" w:bidi="ar"/>
              </w:rPr>
              <w:t xml:space="preserve">                  </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6.报警时间：警报声响持续时间应不小于90s全不大于15min。</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7.可电话拔号通过CID格式上报接警平台。</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8.产品预留有4G接口，为以后与软件或服务器提供4G通信。</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9.报警主机：DC13.8V/2A供电；</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10.支持键盘数：8个，独立操作；</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11.子系统：8个独立（1个公共）；</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12.继电器输出模块：可通过总线扩展灯控模块、电子地图、视频联动模块</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13.可通过RS232或IP实现与中心软件计算机连接</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  </w:t>
            </w:r>
            <w:r>
              <w:rPr>
                <w:rFonts w:hint="eastAsia" w:ascii="宋体" w:hAnsi="宋体" w:eastAsia="宋体" w:cs="宋体"/>
                <w:i w:val="0"/>
                <w:iCs w:val="0"/>
                <w:color w:val="000000"/>
                <w:kern w:val="0"/>
                <w:sz w:val="18"/>
                <w:szCs w:val="18"/>
                <w:u w:val="none"/>
                <w:bdr w:val="none" w:color="auto" w:sz="0" w:space="0"/>
                <w:lang w:val="en-US" w:eastAsia="zh-CN" w:bidi="ar"/>
              </w:rPr>
              <w:t>14.本主机可自动存储3000条报警及撤布防信息（断电不丢失）</w:t>
            </w:r>
          </w:p>
        </w:tc>
        <w:tc>
          <w:tcPr>
            <w:tcW w:w="646"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声光警号</w:t>
            </w:r>
          </w:p>
        </w:tc>
        <w:tc>
          <w:tcPr>
            <w:tcW w:w="1080"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用于报警中心报警；</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视频联动（16路）</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通讯方式：RS485/网络；</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台</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设备尺寸：240*121*49mm；</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设备供电：DC12V；</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设备功率：4W；</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端口说明： NC: 常闭开关量信号端口，用于接常闭型报警输入设备的一端；</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电子地图</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 xml:space="preserve">材质：铝合金边幅 </w:t>
            </w:r>
            <w:r>
              <w:rPr>
                <w:rFonts w:hint="eastAsia" w:ascii="宋体" w:hAnsi="宋体" w:eastAsia="宋体" w:cs="宋体"/>
                <w:i w:val="0"/>
                <w:iCs w:val="0"/>
                <w:color w:val="000000"/>
                <w:kern w:val="0"/>
                <w:sz w:val="18"/>
                <w:szCs w:val="18"/>
                <w:u w:val="none"/>
                <w:bdr w:val="none" w:color="auto" w:sz="0" w:space="0"/>
                <w:lang w:val="en-US" w:eastAsia="zh-CN" w:bidi="ar"/>
              </w:rPr>
              <w:t xml:space="preserve"> 规格：600*800mm</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14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多级电子地图定位、显示:任意多级电子地图显示，可以在地图上设置用户、报警点等，可以通过地图直观显示各种设备的状态，纯矢量化电子地图，无级矢量缩放，图层数量无限</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2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电子围栏软件</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1.具有对张力报警主机的布防、撤防等远程控制功能；</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套</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54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2.具有对设备管理、用户权限管理、日志管理等参数配置。防区报警后会自动产生报警记录，记录报警防区各种信息。用户可对警情进行分析、处理，并将结果记录到系统中；</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3.提供视频联动复核功能（不得通过NVR来实现），报警后可在管理软件上浏览报警区域视频图像并存储该段报警视频；（提供现场功能演示）；</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4.支持接入第三方监控管理平台，向其上传报警信号；</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5.控制中心通过以太网远程操作前端站点区的布防与撤防（可以单个或多个操作）；</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9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6.具有报警数据保存查询功能，可查看报警站点、防区、报警类型与报警时间；自定义报警记录与系统日志的保存期限，自动清除超期记录；</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7.支持接入钉钉管理平台，报警信息可通过钉钉推送给相关管理人员；（提供现场功能演示）；</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80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8.具有与订制电子地图联动、视频联动信号输出功能；可以远程设置防区通讯模块地址；可按防区绘制周界，报警时直观呈现出报警防区范围；联动打印机，实现报警即打印报警记录；实现监控视频实时预览。</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9.支持两级报警联网，轻松建设本地管理平台、集中管理平台</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0" w:hRule="atLeast"/>
        </w:trPr>
        <w:tc>
          <w:tcPr>
            <w:tcW w:w="448" w:type="dxa"/>
            <w:vMerge w:val="restart"/>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ABT两光束 红外对射</w:t>
            </w: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室外警戒距离：0-150米；</w:t>
            </w:r>
          </w:p>
        </w:tc>
        <w:tc>
          <w:tcPr>
            <w:tcW w:w="646"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vMerge w:val="restart"/>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w:t>
            </w:r>
          </w:p>
        </w:tc>
        <w:tc>
          <w:tcPr>
            <w:tcW w:w="848"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restart"/>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restart"/>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红外光束数量：2光束；</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探测报警方式：红外光遮挡报警；</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光源：普通数字滤波式光源；</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感应速度：35-700m/sec；</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报警输出：常开/常闭可选；</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工作电流：200mA/对；</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工作电压：DC12-18V；</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工作温度：-20℃~55℃；</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工作湿度：相对湿度≤95% 非凝露；</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vMerge w:val="continue"/>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13"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重量：0.8Kg；</w:t>
            </w:r>
          </w:p>
        </w:tc>
        <w:tc>
          <w:tcPr>
            <w:tcW w:w="646"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729"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c>
          <w:tcPr>
            <w:tcW w:w="848"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vMerge w:val="continue"/>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vMerge w:val="continue"/>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红外对射支架</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工艺升级，两光束不锈钢 L型对射安装支架，30CM；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单防区地址模块</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单地址码模块，配套总线或网络报警系统使用</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个</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bottom"/>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A2</w:t>
            </w:r>
          </w:p>
        </w:tc>
        <w:tc>
          <w:tcPr>
            <w:tcW w:w="6856" w:type="dxa"/>
            <w:gridSpan w:val="6"/>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后端设备合计：</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8384" w:type="dxa"/>
            <w:gridSpan w:val="8"/>
            <w:tcBorders>
              <w:top w:val="nil"/>
              <w:left w:val="single" w:color="000000" w:sz="8" w:space="0"/>
              <w:bottom w:val="single" w:color="000000" w:sz="8" w:space="0"/>
              <w:right w:val="single" w:color="000000" w:sz="8" w:space="0"/>
            </w:tcBorders>
            <w:shd w:val="clear" w:color="auto" w:fill="FFCC99"/>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辅材部分</w:t>
            </w:r>
          </w:p>
        </w:tc>
        <w:tc>
          <w:tcPr>
            <w:tcW w:w="1281" w:type="dxa"/>
            <w:tcBorders>
              <w:top w:val="nil"/>
              <w:left w:val="nil"/>
              <w:bottom w:val="single" w:color="000000" w:sz="8" w:space="0"/>
              <w:right w:val="single" w:color="000000" w:sz="8" w:space="0"/>
            </w:tcBorders>
            <w:shd w:val="clear" w:color="auto" w:fill="FFCC99"/>
            <w:vAlign w:val="center"/>
          </w:tcPr>
          <w:p>
            <w:pPr>
              <w:jc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空气开关</w:t>
            </w: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小型断路器，磁吹断路器，极数2P，额定电流10A</w:t>
            </w:r>
          </w:p>
        </w:tc>
        <w:tc>
          <w:tcPr>
            <w:tcW w:w="646"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个</w:t>
            </w:r>
          </w:p>
        </w:tc>
        <w:tc>
          <w:tcPr>
            <w:tcW w:w="848"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接地桩</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角铁，上有接线孔，规格30*30*3*750mm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接地线(铜芯）</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单股铜导线，4平方，规格1*2.25MM</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613"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蓄电池</w:t>
            </w:r>
          </w:p>
        </w:tc>
        <w:tc>
          <w:tcPr>
            <w:tcW w:w="1080"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断电时，给探测器和报警主机供电；</w:t>
            </w:r>
          </w:p>
        </w:tc>
        <w:tc>
          <w:tcPr>
            <w:tcW w:w="646"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块</w:t>
            </w:r>
          </w:p>
        </w:tc>
        <w:tc>
          <w:tcPr>
            <w:tcW w:w="848"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color="auto" w:fill="FFFFFF"/>
            <w:vAlign w:val="center"/>
          </w:tcPr>
          <w:p>
            <w:pPr>
              <w:jc w:val="center"/>
              <w:rPr>
                <w:rFonts w:hint="eastAsia" w:ascii="宋体" w:hAnsi="宋体" w:eastAsia="宋体" w:cs="宋体"/>
                <w:i w:val="0"/>
                <w:iCs w:val="0"/>
                <w:color w:val="0000FF"/>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电源线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规格：RVV2*1.5；</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信号线/光纤</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规格：RVV2*1.5/单模24芯；</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7</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光电</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单模光电转换器（规格；千兆一光四电）；</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交换机</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8口千兆；</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台</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网线</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超五类网线（规格；305米/箱）；</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箱</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管材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规格：PVC25/镀锌25；</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2600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辅助材料</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弯头、套管、扎带、胶布、膨胀螺丝等施工用辅料；</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批</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B1</w:t>
            </w:r>
          </w:p>
        </w:tc>
        <w:tc>
          <w:tcPr>
            <w:tcW w:w="613"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辅材合计：</w:t>
            </w:r>
          </w:p>
        </w:tc>
        <w:tc>
          <w:tcPr>
            <w:tcW w:w="6243" w:type="dxa"/>
            <w:gridSpan w:val="5"/>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设备总价</w:t>
            </w:r>
          </w:p>
        </w:tc>
        <w:tc>
          <w:tcPr>
            <w:tcW w:w="5163" w:type="dxa"/>
            <w:gridSpan w:val="4"/>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前端+后端+辅材</w:t>
            </w: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9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C</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电子围栏、综合布线施工费、技术服务培训费</w:t>
            </w: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周界总长：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2500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single" w:color="000000" w:sz="8" w:space="0"/>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single" w:color="000000" w:sz="8" w:space="0"/>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（含挖沟，回填，软件技术服务培训等）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5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硬化路面破路施工</w:t>
            </w:r>
          </w:p>
        </w:tc>
        <w:tc>
          <w:tcPr>
            <w:tcW w:w="2940"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总长：</w:t>
            </w: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140</w:t>
            </w:r>
          </w:p>
        </w:tc>
        <w:tc>
          <w:tcPr>
            <w:tcW w:w="729"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米</w:t>
            </w: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（含破除，开挖及恢复等）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光纤熔纤费</w:t>
            </w:r>
          </w:p>
        </w:tc>
        <w:tc>
          <w:tcPr>
            <w:tcW w:w="294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646" w:type="dxa"/>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项</w:t>
            </w:r>
          </w:p>
        </w:tc>
        <w:tc>
          <w:tcPr>
            <w:tcW w:w="729"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848"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C1</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施工合计</w:t>
            </w:r>
          </w:p>
        </w:tc>
        <w:tc>
          <w:tcPr>
            <w:tcW w:w="5163" w:type="dxa"/>
            <w:gridSpan w:val="4"/>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080"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81" w:type="dxa"/>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48" w:type="dxa"/>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D</w:t>
            </w:r>
          </w:p>
        </w:tc>
        <w:tc>
          <w:tcPr>
            <w:tcW w:w="1693" w:type="dxa"/>
            <w:gridSpan w:val="2"/>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总费用合计（含税）</w:t>
            </w:r>
          </w:p>
        </w:tc>
        <w:tc>
          <w:tcPr>
            <w:tcW w:w="5163" w:type="dxa"/>
            <w:gridSpan w:val="4"/>
            <w:tcBorders>
              <w:top w:val="nil"/>
              <w:left w:val="nil"/>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前端+后端+辅材+施工</w:t>
            </w:r>
          </w:p>
        </w:tc>
        <w:tc>
          <w:tcPr>
            <w:tcW w:w="2361" w:type="dxa"/>
            <w:gridSpan w:val="2"/>
            <w:tcBorders>
              <w:top w:val="nil"/>
              <w:left w:val="nil"/>
              <w:bottom w:val="single" w:color="000000" w:sz="8" w:space="0"/>
              <w:right w:val="single" w:color="000000" w:sz="8"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使用需求：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1，</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无盲区、无死角、无漏洞。前端围栏是有形的围栏，可以随着地形高低起伏架设。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零误报率，可靠性高(克服传统的红外、感应、振动电缆等技术缺陷，报警基本不受气候、地形、树木、小动物等影响。)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权威检测，在确保防护强度前提下对人体无伤害，安全可靠、能够真正实现阻挡、威慑和报警。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技术方案：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1，周界围墙电子围栏的安装避免出现盲区和死角，防区划分有利于报警时准确定位，且不大于100m，并设置为不可撤防模式；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平行相邻的围栏之间距离不大于200mm±20mm；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3，安装在周界围墙上端时，最上一根围栏与封闭屏障顶端的间距不小于750mm，最下一根围栏与封闭屏障顶端的间距不大于150mm±20mm；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3，</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脉冲式电子围栏上有明显的警告用安全标志</w:t>
            </w:r>
            <w:r>
              <w:rPr>
                <w:rFonts w:hint="eastAsia" w:ascii="宋体" w:hAnsi="宋体" w:eastAsia="宋体" w:cs="宋体"/>
                <w:b/>
                <w:bCs/>
                <w:i w:val="0"/>
                <w:iCs w:val="0"/>
                <w:color w:val="FF0000"/>
                <w:kern w:val="0"/>
                <w:sz w:val="22"/>
                <w:szCs w:val="22"/>
                <w:u w:val="none"/>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9665" w:type="dxa"/>
            <w:gridSpan w:val="9"/>
            <w:tcBorders>
              <w:top w:val="nil"/>
              <w:left w:val="single" w:color="000000" w:sz="8" w:space="0"/>
              <w:bottom w:val="nil"/>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4，</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防盗报警控制器能接收入侵探测器和紧急报警装置发出的报警及故障信号，具有布防和撤防、不可撤防模式、外出与进入延迟的设置和编程，以及自检、防破坏、声光报警、报警记录与储存、打印输出、密码操作保护等功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5" w:hRule="atLeast"/>
        </w:trPr>
        <w:tc>
          <w:tcPr>
            <w:tcW w:w="9665" w:type="dxa"/>
            <w:gridSpan w:val="9"/>
            <w:tcBorders>
              <w:top w:val="nil"/>
              <w:left w:val="single" w:color="000000" w:sz="8" w:space="0"/>
              <w:bottom w:val="single" w:color="000000" w:sz="8" w:space="0"/>
              <w:right w:val="single" w:color="000000" w:sz="8"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5，</w:t>
            </w:r>
            <w:r>
              <w:rPr>
                <w:rFonts w:ascii="Arial" w:hAnsi="Arial" w:eastAsia="宋体" w:cs="Arial"/>
                <w:b/>
                <w:bCs/>
                <w:i w:val="0"/>
                <w:iCs w:val="0"/>
                <w:color w:val="000000"/>
                <w:kern w:val="0"/>
                <w:sz w:val="22"/>
                <w:szCs w:val="22"/>
                <w:u w:val="none"/>
                <w:bdr w:val="none" w:color="auto" w:sz="0" w:space="0"/>
                <w:lang w:val="en-US" w:eastAsia="zh-CN" w:bidi="ar"/>
              </w:rPr>
              <w:t xml:space="preserve"> </w:t>
            </w:r>
            <w:r>
              <w:rPr>
                <w:rFonts w:hint="eastAsia" w:ascii="宋体" w:hAnsi="宋体" w:eastAsia="宋体" w:cs="宋体"/>
                <w:b/>
                <w:bCs/>
                <w:i w:val="0"/>
                <w:iCs w:val="0"/>
                <w:color w:val="000000"/>
                <w:kern w:val="0"/>
                <w:sz w:val="22"/>
                <w:szCs w:val="22"/>
                <w:u w:val="none"/>
                <w:bdr w:val="none" w:color="auto" w:sz="0" w:space="0"/>
                <w:lang w:val="en-US" w:eastAsia="zh-CN" w:bidi="ar"/>
              </w:rPr>
              <w:t>报警器安装在无人看守的场所其报警声压不小于100dB（A），报警持续时间不小于20min，并可调整持续时间。</w:t>
            </w: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numPr>
          <w:ilvl w:val="0"/>
          <w:numId w:val="0"/>
        </w:numPr>
        <w:spacing w:line="380" w:lineRule="exact"/>
        <w:ind w:firstLine="480" w:firstLineChars="200"/>
        <w:rPr>
          <w:rFonts w:ascii="仿宋" w:hAnsi="仿宋" w:eastAsia="仿宋"/>
          <w:sz w:val="24"/>
          <w:szCs w:val="24"/>
        </w:rPr>
      </w:pPr>
      <w:r>
        <w:rPr>
          <w:rFonts w:hint="eastAsia" w:ascii="仿宋" w:hAnsi="仿宋" w:eastAsia="仿宋"/>
          <w:sz w:val="24"/>
          <w:szCs w:val="24"/>
          <w:lang w:val="en-US" w:eastAsia="zh-CN"/>
        </w:rPr>
        <w:t>2.</w:t>
      </w:r>
      <w:r>
        <w:rPr>
          <w:rFonts w:ascii="仿宋" w:hAnsi="仿宋" w:eastAsia="仿宋"/>
          <w:sz w:val="24"/>
          <w:szCs w:val="24"/>
        </w:rPr>
        <w:t>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numPr>
          <w:ilvl w:val="0"/>
          <w:numId w:val="0"/>
        </w:numPr>
        <w:spacing w:after="0" w:line="440" w:lineRule="exact"/>
        <w:ind w:leftChars="0" w:firstLine="480" w:firstLineChars="200"/>
        <w:rPr>
          <w:rFonts w:ascii="仿宋" w:hAnsi="仿宋" w:eastAsia="仿宋"/>
          <w:bCs/>
          <w:sz w:val="24"/>
          <w:szCs w:val="24"/>
        </w:rPr>
      </w:pPr>
      <w:r>
        <w:rPr>
          <w:rFonts w:hint="eastAsia" w:ascii="仿宋" w:hAnsi="仿宋" w:eastAsia="仿宋"/>
          <w:bCs/>
          <w:sz w:val="24"/>
          <w:szCs w:val="24"/>
          <w:lang w:val="en-US" w:eastAsia="zh-CN"/>
        </w:rPr>
        <w:t>3.</w:t>
      </w: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w:t>
      </w:r>
      <w:r>
        <w:rPr>
          <w:rFonts w:hint="eastAsia" w:ascii="仿宋" w:hAnsi="仿宋" w:eastAsia="仿宋"/>
          <w:bCs/>
          <w:sz w:val="24"/>
          <w:szCs w:val="24"/>
          <w:lang w:val="en-US" w:eastAsia="zh-CN"/>
        </w:rPr>
        <w:t>使用</w:t>
      </w:r>
      <w:r>
        <w:rPr>
          <w:rFonts w:hint="eastAsia" w:ascii="仿宋" w:hAnsi="仿宋" w:eastAsia="仿宋"/>
          <w:bCs/>
          <w:sz w:val="24"/>
          <w:szCs w:val="24"/>
        </w:rPr>
        <w:t>要求基础上提供优化方案及所匹配产品，采购人将优先选择性价比高且符合要求的产品。</w:t>
      </w:r>
    </w:p>
    <w:p>
      <w:pPr>
        <w:numPr>
          <w:ilvl w:val="0"/>
          <w:numId w:val="0"/>
        </w:numPr>
        <w:spacing w:after="0" w:line="440" w:lineRule="exact"/>
        <w:ind w:leftChars="0" w:firstLine="480" w:firstLineChars="200"/>
        <w:rPr>
          <w:rFonts w:ascii="仿宋" w:hAnsi="仿宋" w:eastAsia="仿宋"/>
          <w:bCs/>
          <w:sz w:val="24"/>
          <w:szCs w:val="24"/>
        </w:rPr>
      </w:pPr>
      <w:r>
        <w:rPr>
          <w:rFonts w:hint="eastAsia" w:ascii="仿宋" w:hAnsi="仿宋" w:eastAsia="仿宋"/>
          <w:bCs/>
          <w:sz w:val="24"/>
          <w:szCs w:val="24"/>
          <w:lang w:val="en-US" w:eastAsia="zh-CN"/>
        </w:rPr>
        <w:t>4.</w:t>
      </w:r>
      <w:r>
        <w:rPr>
          <w:rFonts w:hint="eastAsia" w:ascii="仿宋" w:hAnsi="仿宋" w:eastAsia="仿宋"/>
          <w:bCs/>
          <w:sz w:val="24"/>
          <w:szCs w:val="24"/>
        </w:rPr>
        <w:t>参与人所投商品需要提供品牌、规格型号等真实详细信息，禁止复制采购人所提供的参考参数。</w:t>
      </w:r>
    </w:p>
    <w:p>
      <w:pPr>
        <w:numPr>
          <w:ilvl w:val="0"/>
          <w:numId w:val="0"/>
        </w:numPr>
        <w:spacing w:after="0" w:line="440" w:lineRule="exact"/>
        <w:ind w:leftChars="0" w:firstLine="480" w:firstLineChars="200"/>
        <w:rPr>
          <w:rFonts w:ascii="仿宋" w:hAnsi="仿宋" w:eastAsia="仿宋"/>
          <w:bCs/>
          <w:sz w:val="24"/>
          <w:szCs w:val="24"/>
        </w:rPr>
      </w:pPr>
      <w:r>
        <w:rPr>
          <w:rFonts w:hint="eastAsia" w:ascii="仿宋" w:hAnsi="仿宋" w:eastAsia="仿宋"/>
          <w:bCs/>
          <w:sz w:val="24"/>
          <w:szCs w:val="24"/>
          <w:lang w:val="en-US" w:eastAsia="zh-CN"/>
        </w:rPr>
        <w:t>5.</w:t>
      </w:r>
      <w:r>
        <w:rPr>
          <w:rFonts w:hint="eastAsia" w:ascii="仿宋" w:hAnsi="仿宋" w:eastAsia="仿宋"/>
          <w:bCs/>
          <w:sz w:val="24"/>
          <w:szCs w:val="24"/>
        </w:rPr>
        <w:t>参与人所投商品报价应包含税费、运输费、搬运费、整体实施、安装调试费、售后服务等一切费用。</w:t>
      </w:r>
    </w:p>
    <w:p>
      <w:pPr>
        <w:pStyle w:val="2"/>
        <w:ind w:firstLine="480" w:firstLineChars="200"/>
        <w:rPr>
          <w:rFonts w:ascii="仿宋" w:hAnsi="仿宋" w:eastAsia="仿宋"/>
          <w:sz w:val="24"/>
          <w:szCs w:val="24"/>
          <w:lang w:val="zh-CN"/>
        </w:rPr>
      </w:pPr>
      <w:r>
        <w:rPr>
          <w:rFonts w:hint="eastAsia" w:ascii="仿宋" w:hAnsi="仿宋" w:eastAsia="仿宋"/>
          <w:bCs/>
          <w:sz w:val="24"/>
          <w:szCs w:val="24"/>
          <w:lang w:val="en-US" w:eastAsia="zh-CN"/>
        </w:rPr>
        <w:t>6.参与人需勘察现场后进行报价，参与人递交响应文件视为对现场清楚了解，参与人可优化调整方案，达到使用人要求。</w:t>
      </w: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18" w:type="first"/>
          <w:headerReference r:id="rId17" w:type="default"/>
          <w:footerReference r:id="rId19" w:type="default"/>
          <w:pgSz w:w="11906" w:h="16838"/>
          <w:pgMar w:top="1440" w:right="1416" w:bottom="1440" w:left="1134" w:header="851" w:footer="992" w:gutter="0"/>
          <w:pgNumType w:fmt="decimal"/>
          <w:cols w:space="425" w:num="1"/>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35437998"/>
      <w:bookmarkStart w:id="114" w:name="_Toc267059544"/>
      <w:bookmarkStart w:id="115" w:name="_Toc267060326"/>
      <w:bookmarkStart w:id="116" w:name="_Toc266868679"/>
      <w:bookmarkStart w:id="117" w:name="_Toc251613839"/>
      <w:bookmarkStart w:id="118" w:name="_Toc266870916"/>
      <w:bookmarkStart w:id="119" w:name="_Toc192996451"/>
      <w:bookmarkStart w:id="120" w:name="_Toc255975016"/>
      <w:bookmarkStart w:id="121" w:name="_Toc213755945"/>
      <w:bookmarkStart w:id="122" w:name="_Toc169332843"/>
      <w:bookmarkStart w:id="123" w:name="_Toc235438281"/>
      <w:bookmarkStart w:id="124" w:name="_Toc191789334"/>
      <w:bookmarkStart w:id="125" w:name="_Toc213208771"/>
      <w:bookmarkStart w:id="126" w:name="_Toc273178703"/>
      <w:bookmarkStart w:id="127" w:name="_Toc266870839"/>
      <w:bookmarkStart w:id="128" w:name="_Toc191802695"/>
      <w:bookmarkStart w:id="129" w:name="_Toc249325720"/>
      <w:bookmarkStart w:id="130" w:name="_Toc182372787"/>
      <w:bookmarkStart w:id="131" w:name="_Toc170798798"/>
      <w:bookmarkStart w:id="132" w:name="_Toc235438352"/>
      <w:bookmarkStart w:id="133" w:name="_Toc251586241"/>
      <w:bookmarkStart w:id="134" w:name="_Toc160880534"/>
      <w:bookmarkStart w:id="135" w:name="_Toc193165739"/>
      <w:bookmarkStart w:id="136" w:name="_Toc213756057"/>
      <w:bookmarkStart w:id="137" w:name="_Toc192663840"/>
      <w:bookmarkStart w:id="138" w:name="_Toc266868943"/>
      <w:bookmarkStart w:id="139" w:name="_Toc259520874"/>
      <w:bookmarkStart w:id="140" w:name="_Toc181436466"/>
      <w:bookmarkStart w:id="141" w:name="_Toc254790909"/>
      <w:bookmarkStart w:id="142" w:name="_Toc169332954"/>
      <w:bookmarkStart w:id="143" w:name="_Toc192996343"/>
      <w:bookmarkStart w:id="144" w:name="_Toc211917121"/>
      <w:bookmarkStart w:id="145" w:name="_Toc259692656"/>
      <w:bookmarkStart w:id="146" w:name="_Toc191803631"/>
      <w:bookmarkStart w:id="147" w:name="_Toc177985474"/>
      <w:bookmarkStart w:id="148" w:name="_Toc259692749"/>
      <w:bookmarkStart w:id="149" w:name="_Toc236021457"/>
      <w:bookmarkStart w:id="150" w:name="_Toc181436570"/>
      <w:bookmarkStart w:id="151" w:name="_Toc193160453"/>
      <w:bookmarkStart w:id="152" w:name="_Toc192663691"/>
      <w:bookmarkStart w:id="153" w:name="_Toc258401265"/>
      <w:bookmarkStart w:id="154" w:name="_Toc267059924"/>
      <w:bookmarkStart w:id="155" w:name="_Toc219800249"/>
      <w:bookmarkStart w:id="156" w:name="_Toc266870441"/>
      <w:bookmarkStart w:id="157" w:name="_Toc267060216"/>
      <w:bookmarkStart w:id="158" w:name="_Toc191783227"/>
      <w:bookmarkStart w:id="159" w:name="_Toc267059658"/>
      <w:bookmarkStart w:id="160" w:name="_Toc217891408"/>
      <w:bookmarkStart w:id="161" w:name="_Toc182805222"/>
      <w:bookmarkStart w:id="162" w:name="_Toc267060076"/>
      <w:bookmarkStart w:id="163" w:name="_Toc192664158"/>
      <w:bookmarkStart w:id="164" w:name="_Toc223146614"/>
      <w:bookmarkStart w:id="165" w:name="_Toc232302122"/>
      <w:bookmarkStart w:id="166" w:name="_Toc230071153"/>
      <w:bookmarkStart w:id="167" w:name="_Toc213756001"/>
      <w:bookmarkStart w:id="168" w:name="_Toc160880165"/>
      <w:bookmarkStart w:id="169" w:name="_Toc225669328"/>
      <w:bookmarkStart w:id="170" w:name="_Toc267059035"/>
      <w:bookmarkStart w:id="171" w:name="_Toc267059811"/>
      <w:bookmarkStart w:id="172" w:name="_Toc180302918"/>
      <w:bookmarkStart w:id="173" w:name="_Toc213755864"/>
      <w:bookmarkStart w:id="174" w:name="_Toc253066624"/>
      <w:bookmarkStart w:id="175" w:name="_Toc203355738"/>
      <w:bookmarkStart w:id="176" w:name="_Toc227058536"/>
      <w:bookmarkStart w:id="177" w:name="_Toc267059186"/>
      <w:bookmarkStart w:id="178" w:name="_Toc267060461"/>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、参与人资质材料</w:t>
      </w:r>
    </w:p>
    <w:p>
      <w:pPr>
        <w:pStyle w:val="13"/>
        <w:rPr>
          <w:sz w:val="24"/>
          <w:szCs w:val="24"/>
        </w:rPr>
      </w:pPr>
    </w:p>
    <w:p>
      <w:pPr>
        <w:spacing w:line="380" w:lineRule="exact"/>
        <w:jc w:val="center"/>
        <w:outlineLvl w:val="2"/>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-1关于资格的声明函</w:t>
      </w:r>
      <w:r>
        <w:rPr>
          <w:rFonts w:hint="eastAsia" w:ascii="仿宋" w:hAnsi="仿宋" w:eastAsia="仿宋"/>
          <w:b/>
          <w:color w:val="auto"/>
          <w:sz w:val="24"/>
          <w:szCs w:val="24"/>
        </w:rPr>
        <w:cr/>
      </w:r>
    </w:p>
    <w:p>
      <w:pPr>
        <w:spacing w:line="380" w:lineRule="exact"/>
        <w:jc w:val="center"/>
        <w:outlineLvl w:val="2"/>
        <w:rPr>
          <w:rFonts w:hint="eastAsia" w:ascii="仿宋" w:hAnsi="仿宋" w:eastAsia="仿宋" w:cs="仿宋"/>
          <w:b/>
          <w:color w:val="auto"/>
          <w:sz w:val="24"/>
          <w:szCs w:val="24"/>
        </w:rPr>
      </w:pPr>
    </w:p>
    <w:p>
      <w:pPr>
        <w:spacing w:after="0" w:line="500" w:lineRule="exact"/>
        <w:rPr>
          <w:rFonts w:hint="eastAsia" w:ascii="仿宋" w:hAnsi="仿宋" w:eastAsia="仿宋" w:cs="仿宋"/>
          <w:color w:val="auto"/>
          <w:sz w:val="24"/>
          <w:szCs w:val="24"/>
        </w:rPr>
      </w:pPr>
      <w:bookmarkStart w:id="179"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179"/>
    </w:p>
    <w:p>
      <w:pPr>
        <w:spacing w:after="0" w:line="46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rPr>
        <w:t>关于贵方</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年</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月</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（项目编号）公开询价邀请，本签字人愿意参加本次报价，提供公开询价文件中规定的</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项目，并证明提交的下列文件和说明是准确的和真实的。</w:t>
      </w:r>
      <w:r>
        <w:rPr>
          <w:rFonts w:hint="eastAsia" w:ascii="仿宋" w:hAnsi="仿宋" w:eastAsia="仿宋"/>
          <w:color w:val="auto"/>
          <w:sz w:val="24"/>
          <w:szCs w:val="24"/>
        </w:rPr>
        <w:cr/>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1．本签字人确认资格文件中的说明以及公开询价文件中所有提交的文件和材料是真实的、准确的。</w:t>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2．我方的资格声明一份，随报价文件一同递交。</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地   </w:t>
      </w:r>
      <w:r>
        <w:rPr>
          <w:rFonts w:ascii="仿宋" w:hAnsi="仿宋" w:eastAsia="仿宋"/>
          <w:color w:val="auto"/>
          <w:sz w:val="24"/>
          <w:szCs w:val="24"/>
        </w:rPr>
        <w:t xml:space="preserve">     </w:t>
      </w:r>
      <w:r>
        <w:rPr>
          <w:rFonts w:hint="eastAsia" w:ascii="仿宋" w:hAnsi="仿宋" w:eastAsia="仿宋"/>
          <w:color w:val="auto"/>
          <w:sz w:val="24"/>
          <w:szCs w:val="24"/>
        </w:rPr>
        <w:t xml:space="preserve">  址：</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邮    </w:t>
      </w:r>
      <w:r>
        <w:rPr>
          <w:rFonts w:ascii="仿宋" w:hAnsi="仿宋" w:eastAsia="仿宋"/>
          <w:color w:val="auto"/>
          <w:sz w:val="24"/>
          <w:szCs w:val="24"/>
        </w:rPr>
        <w:t xml:space="preserve">     </w:t>
      </w:r>
      <w:r>
        <w:rPr>
          <w:rFonts w:hint="eastAsia" w:ascii="仿宋" w:hAnsi="仿宋" w:eastAsia="仿宋"/>
          <w:color w:val="auto"/>
          <w:sz w:val="24"/>
          <w:szCs w:val="24"/>
        </w:rPr>
        <w:t xml:space="preserve"> 编：</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话或传  真：</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olor w:val="auto"/>
          <w:sz w:val="24"/>
          <w:szCs w:val="24"/>
        </w:rPr>
        <w:t>报价授权委托人：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cs="仿宋"/>
          <w:color w:val="auto"/>
          <w:sz w:val="24"/>
          <w:szCs w:val="24"/>
        </w:rPr>
        <w:t xml:space="preserve">                </w:t>
      </w:r>
      <w:bookmarkStart w:id="180" w:name="_Toc254790911"/>
      <w:bookmarkStart w:id="181" w:name="_Toc230071155"/>
      <w:bookmarkStart w:id="182" w:name="_Toc236021459"/>
      <w:bookmarkStart w:id="183" w:name="_Toc225669330"/>
      <w:bookmarkStart w:id="184" w:name="_Toc266870918"/>
      <w:bookmarkStart w:id="185" w:name="_Toc258401267"/>
      <w:bookmarkStart w:id="186" w:name="_Toc217891410"/>
      <w:bookmarkStart w:id="187" w:name="_Toc255975018"/>
      <w:bookmarkStart w:id="188" w:name="_Toc235438000"/>
      <w:bookmarkStart w:id="189" w:name="_Toc259520876"/>
      <w:bookmarkStart w:id="190" w:name="_Toc259692751"/>
      <w:bookmarkStart w:id="191" w:name="_Toc251586243"/>
      <w:bookmarkStart w:id="192" w:name="_Toc213756059"/>
      <w:bookmarkStart w:id="193" w:name="_Toc232302124"/>
      <w:bookmarkStart w:id="194" w:name="_Toc253066626"/>
      <w:bookmarkStart w:id="195" w:name="_Toc219800251"/>
      <w:bookmarkStart w:id="196" w:name="_Toc266868681"/>
      <w:bookmarkStart w:id="197" w:name="_Toc251613841"/>
      <w:bookmarkStart w:id="198" w:name="_Toc227058538"/>
      <w:bookmarkStart w:id="199" w:name="_Toc266870443"/>
      <w:bookmarkStart w:id="200" w:name="_Toc223146616"/>
      <w:bookmarkStart w:id="201" w:name="_Toc235438354"/>
      <w:bookmarkStart w:id="202" w:name="_Toc235438283"/>
      <w:bookmarkStart w:id="203" w:name="_Toc249325722"/>
      <w:bookmarkStart w:id="204" w:name="_Toc259692658"/>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pPr>
        <w:spacing w:after="0" w:line="380" w:lineRule="exact"/>
        <w:jc w:val="center"/>
        <w:rPr>
          <w:rFonts w:hint="eastAsia" w:ascii="仿宋" w:hAnsi="仿宋" w:eastAsia="仿宋"/>
          <w:b/>
          <w:color w:val="auto"/>
          <w:sz w:val="24"/>
          <w:szCs w:val="24"/>
          <w:lang w:val="en-US" w:eastAsia="zh-CN"/>
        </w:rPr>
      </w:pPr>
    </w:p>
    <w:p>
      <w:pPr>
        <w:spacing w:after="0" w:line="380" w:lineRule="exact"/>
        <w:jc w:val="center"/>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color w:val="auto"/>
          <w:sz w:val="24"/>
          <w:szCs w:val="24"/>
        </w:rPr>
        <w:t>2</w:t>
      </w:r>
      <w:r>
        <w:rPr>
          <w:rFonts w:hint="eastAsia" w:ascii="仿宋" w:hAnsi="仿宋" w:eastAsia="仿宋"/>
          <w:b/>
          <w:color w:val="auto"/>
          <w:sz w:val="24"/>
          <w:szCs w:val="24"/>
        </w:rPr>
        <w:t>法定代表人授权书</w:t>
      </w:r>
      <w:r>
        <w:rPr>
          <w:rFonts w:hint="eastAsia" w:ascii="仿宋" w:hAnsi="仿宋" w:eastAsia="仿宋"/>
          <w:b/>
          <w:color w:val="auto"/>
          <w:sz w:val="24"/>
          <w:szCs w:val="24"/>
        </w:rPr>
        <w:cr/>
      </w:r>
    </w:p>
    <w:p>
      <w:pPr>
        <w:spacing w:line="50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u w:val="single"/>
          <w:lang w:val="zh-CN"/>
        </w:rPr>
        <w:t>（参与人全称）</w:t>
      </w:r>
      <w:r>
        <w:rPr>
          <w:rFonts w:hint="eastAsia" w:ascii="仿宋" w:hAnsi="仿宋" w:eastAsia="仿宋"/>
          <w:color w:val="auto"/>
          <w:sz w:val="24"/>
          <w:szCs w:val="24"/>
          <w:lang w:val="zh-CN"/>
        </w:rPr>
        <w:t>法定代表人</w:t>
      </w:r>
      <w:r>
        <w:rPr>
          <w:rFonts w:hint="eastAsia" w:ascii="仿宋" w:hAnsi="仿宋" w:eastAsia="仿宋"/>
          <w:color w:val="auto"/>
          <w:sz w:val="24"/>
          <w:szCs w:val="24"/>
          <w:u w:val="single"/>
        </w:rPr>
        <w:t xml:space="preserve"> （姓名）、</w:t>
      </w:r>
      <w:r>
        <w:rPr>
          <w:rFonts w:hint="eastAsia" w:ascii="仿宋" w:hAnsi="仿宋" w:eastAsia="仿宋"/>
          <w:color w:val="auto"/>
          <w:sz w:val="24"/>
          <w:szCs w:val="24"/>
        </w:rPr>
        <w:t xml:space="preserve"> </w:t>
      </w:r>
      <w:r>
        <w:rPr>
          <w:rFonts w:hint="eastAsia" w:ascii="仿宋" w:hAnsi="仿宋" w:eastAsia="仿宋"/>
          <w:color w:val="auto"/>
          <w:sz w:val="24"/>
          <w:szCs w:val="24"/>
          <w:u w:val="single"/>
        </w:rPr>
        <w:t xml:space="preserve">  （身份证号）  </w:t>
      </w:r>
      <w:r>
        <w:rPr>
          <w:rFonts w:hint="eastAsia" w:ascii="仿宋" w:hAnsi="仿宋" w:eastAsia="仿宋"/>
          <w:color w:val="auto"/>
          <w:sz w:val="24"/>
          <w:szCs w:val="24"/>
          <w:lang w:val="zh-CN"/>
        </w:rPr>
        <w:t>授权</w:t>
      </w:r>
      <w:r>
        <w:rPr>
          <w:rFonts w:hint="eastAsia" w:ascii="仿宋" w:hAnsi="仿宋" w:eastAsia="仿宋"/>
          <w:color w:val="auto"/>
          <w:sz w:val="24"/>
          <w:szCs w:val="24"/>
          <w:u w:val="single"/>
        </w:rPr>
        <w:t xml:space="preserve"> </w:t>
      </w:r>
      <w:r>
        <w:rPr>
          <w:rFonts w:hint="eastAsia" w:ascii="仿宋" w:hAnsi="仿宋" w:eastAsia="仿宋"/>
          <w:color w:val="auto"/>
          <w:sz w:val="24"/>
          <w:szCs w:val="24"/>
          <w:u w:val="single"/>
          <w:lang w:val="zh-CN"/>
        </w:rPr>
        <w:t>（报价授权代表姓名）</w:t>
      </w:r>
      <w:r>
        <w:rPr>
          <w:rFonts w:hint="eastAsia" w:ascii="仿宋" w:hAnsi="仿宋" w:eastAsia="仿宋"/>
          <w:color w:val="auto"/>
          <w:sz w:val="24"/>
          <w:szCs w:val="24"/>
          <w:lang w:val="zh-CN"/>
        </w:rPr>
        <w:t>为参与人代表，代表本公司参加贵司组织的</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项目（项目编号</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lang w:val="zh-CN"/>
        </w:rPr>
        <w:t>本授权书自出具之日起生效。</w:t>
      </w:r>
    </w:p>
    <w:p>
      <w:pPr>
        <w:autoSpaceDE w:val="0"/>
        <w:autoSpaceDN w:val="0"/>
        <w:adjustRightInd w:val="0"/>
        <w:spacing w:line="500" w:lineRule="exact"/>
        <w:rPr>
          <w:rFonts w:ascii="仿宋" w:hAnsi="仿宋" w:eastAsia="仿宋"/>
          <w:color w:val="auto"/>
          <w:sz w:val="24"/>
          <w:szCs w:val="24"/>
        </w:rPr>
      </w:pPr>
    </w:p>
    <w:p>
      <w:pPr>
        <w:spacing w:after="0" w:line="500" w:lineRule="exact"/>
        <w:rPr>
          <w:rFonts w:ascii="仿宋" w:hAnsi="仿宋" w:eastAsia="仿宋"/>
          <w:color w:val="auto"/>
          <w:sz w:val="24"/>
          <w:szCs w:val="24"/>
        </w:rPr>
      </w:pPr>
      <w:r>
        <w:rPr>
          <w:rFonts w:ascii="仿宋" w:hAnsi="仿宋" w:eastAsia="仿宋"/>
          <w:color w:val="auto"/>
          <w:sz w:val="24"/>
          <w:szCs w:val="24"/>
        </w:rPr>
        <w:t>法定代表人签</w:t>
      </w:r>
      <w:r>
        <w:rPr>
          <w:rFonts w:hint="eastAsia" w:ascii="仿宋" w:hAnsi="仿宋" w:eastAsia="仿宋"/>
          <w:color w:val="auto"/>
          <w:sz w:val="24"/>
          <w:szCs w:val="24"/>
        </w:rPr>
        <w:t>字</w:t>
      </w:r>
      <w:r>
        <w:rPr>
          <w:rFonts w:ascii="仿宋" w:hAnsi="仿宋" w:eastAsia="仿宋"/>
          <w:color w:val="auto"/>
          <w:sz w:val="24"/>
          <w:szCs w:val="24"/>
        </w:rPr>
        <w:t>：</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w:t>
      </w:r>
      <w:r>
        <w:rPr>
          <w:rFonts w:ascii="仿宋" w:hAnsi="仿宋" w:eastAsia="仿宋"/>
          <w:color w:val="auto"/>
          <w:sz w:val="24"/>
          <w:szCs w:val="24"/>
        </w:rPr>
        <w:t>(公章)：</w:t>
      </w:r>
    </w:p>
    <w:p>
      <w:pPr>
        <w:spacing w:after="0" w:line="500" w:lineRule="exact"/>
        <w:rPr>
          <w:rFonts w:ascii="仿宋" w:hAnsi="仿宋" w:eastAsia="仿宋"/>
          <w:color w:val="auto"/>
          <w:sz w:val="24"/>
          <w:szCs w:val="24"/>
        </w:rPr>
      </w:pPr>
      <w:r>
        <w:rPr>
          <w:rFonts w:ascii="仿宋" w:hAnsi="仿宋" w:eastAsia="仿宋"/>
          <w:color w:val="auto"/>
          <w:sz w:val="24"/>
          <w:szCs w:val="24"/>
        </w:rPr>
        <w:t>日  期：</w:t>
      </w:r>
    </w:p>
    <w:p>
      <w:pPr>
        <w:spacing w:after="0" w:line="500" w:lineRule="exact"/>
        <w:rPr>
          <w:rFonts w:ascii="仿宋" w:hAnsi="仿宋" w:eastAsia="仿宋"/>
          <w:color w:val="auto"/>
          <w:sz w:val="24"/>
          <w:szCs w:val="24"/>
        </w:rPr>
      </w:pPr>
      <w:r>
        <w:rPr>
          <w:rFonts w:ascii="仿宋" w:hAnsi="仿宋" w:eastAsia="仿宋"/>
          <w:color w:val="auto"/>
          <w:sz w:val="24"/>
          <w:szCs w:val="24"/>
        </w:rPr>
        <w:t>附:</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报价授权委托人</w:t>
      </w:r>
      <w:r>
        <w:rPr>
          <w:rFonts w:ascii="仿宋" w:hAnsi="仿宋" w:eastAsia="仿宋"/>
          <w:color w:val="auto"/>
          <w:sz w:val="24"/>
          <w:szCs w:val="24"/>
        </w:rPr>
        <w:t>姓名：</w:t>
      </w:r>
      <w:r>
        <w:rPr>
          <w:rFonts w:hint="eastAsia" w:ascii="仿宋" w:hAnsi="仿宋" w:eastAsia="仿宋"/>
          <w:color w:val="auto"/>
          <w:sz w:val="24"/>
          <w:szCs w:val="24"/>
        </w:rPr>
        <w:t>（签字）</w:t>
      </w:r>
    </w:p>
    <w:p>
      <w:pPr>
        <w:spacing w:after="0" w:line="500" w:lineRule="exact"/>
        <w:rPr>
          <w:rFonts w:ascii="仿宋" w:hAnsi="仿宋" w:eastAsia="仿宋"/>
          <w:color w:val="auto"/>
          <w:sz w:val="24"/>
          <w:szCs w:val="24"/>
        </w:rPr>
      </w:pPr>
      <w:r>
        <w:rPr>
          <w:rFonts w:ascii="仿宋" w:hAnsi="仿宋" w:eastAsia="仿宋"/>
          <w:color w:val="auto"/>
          <w:sz w:val="24"/>
          <w:szCs w:val="24"/>
        </w:rPr>
        <w:t>职        务：</w:t>
      </w:r>
    </w:p>
    <w:p>
      <w:pPr>
        <w:spacing w:after="0" w:line="500" w:lineRule="exact"/>
        <w:rPr>
          <w:rFonts w:ascii="仿宋" w:hAnsi="仿宋" w:eastAsia="仿宋"/>
          <w:color w:val="auto"/>
          <w:sz w:val="24"/>
          <w:szCs w:val="24"/>
        </w:rPr>
      </w:pPr>
      <w:r>
        <w:rPr>
          <w:rFonts w:ascii="仿宋" w:hAnsi="仿宋" w:eastAsia="仿宋"/>
          <w:color w:val="auto"/>
          <w:sz w:val="24"/>
          <w:szCs w:val="24"/>
        </w:rPr>
        <w:t>详细通讯地址：</w:t>
      </w:r>
    </w:p>
    <w:p>
      <w:pPr>
        <w:spacing w:after="0" w:line="500" w:lineRule="exact"/>
        <w:rPr>
          <w:rFonts w:ascii="仿宋" w:hAnsi="仿宋" w:eastAsia="仿宋"/>
          <w:color w:val="auto"/>
          <w:sz w:val="24"/>
          <w:szCs w:val="24"/>
        </w:rPr>
      </w:pPr>
      <w:r>
        <w:rPr>
          <w:rFonts w:ascii="仿宋" w:hAnsi="仿宋" w:eastAsia="仿宋"/>
          <w:color w:val="auto"/>
          <w:sz w:val="24"/>
          <w:szCs w:val="24"/>
        </w:rPr>
        <w:t>邮 政 编 码 ：</w:t>
      </w:r>
    </w:p>
    <w:p>
      <w:pPr>
        <w:spacing w:after="0" w:line="500" w:lineRule="exact"/>
        <w:rPr>
          <w:rFonts w:ascii="仿宋" w:hAnsi="仿宋" w:eastAsia="仿宋"/>
          <w:color w:val="auto"/>
          <w:sz w:val="24"/>
          <w:szCs w:val="24"/>
        </w:rPr>
      </w:pPr>
      <w:r>
        <w:rPr>
          <w:rFonts w:ascii="仿宋" w:hAnsi="仿宋" w:eastAsia="仿宋"/>
          <w:color w:val="auto"/>
          <w:sz w:val="24"/>
          <w:szCs w:val="24"/>
        </w:rPr>
        <w:t>传        真：</w:t>
      </w:r>
    </w:p>
    <w:p>
      <w:pPr>
        <w:spacing w:after="0" w:line="500" w:lineRule="exact"/>
        <w:rPr>
          <w:rFonts w:ascii="仿宋" w:hAnsi="仿宋" w:eastAsia="仿宋"/>
          <w:color w:val="auto"/>
          <w:sz w:val="24"/>
          <w:szCs w:val="24"/>
        </w:rPr>
      </w:pPr>
      <w:r>
        <w:rPr>
          <w:rFonts w:ascii="仿宋" w:hAnsi="仿宋" w:eastAsia="仿宋"/>
          <w:color w:val="auto"/>
          <w:sz w:val="24"/>
          <w:szCs w:val="24"/>
        </w:rPr>
        <w:t>电        话：</w:t>
      </w:r>
    </w:p>
    <w:p>
      <w:pPr>
        <w:spacing w:after="0" w:line="500" w:lineRule="exact"/>
        <w:jc w:val="left"/>
        <w:outlineLvl w:val="1"/>
        <w:rPr>
          <w:rFonts w:ascii="仿宋" w:hAnsi="仿宋" w:eastAsia="仿宋"/>
          <w:b/>
          <w:bCs/>
          <w:color w:val="auto"/>
          <w:sz w:val="24"/>
          <w:szCs w:val="24"/>
        </w:rPr>
      </w:pPr>
      <w:r>
        <w:rPr>
          <w:rFonts w:hint="eastAsia" w:ascii="仿宋" w:hAnsi="仿宋" w:eastAsia="仿宋"/>
          <w:b/>
          <w:color w:val="auto"/>
          <w:sz w:val="24"/>
          <w:szCs w:val="24"/>
          <w:lang w:val="zh-CN"/>
        </w:rPr>
        <w:t>附：被授权人身份证件</w:t>
      </w:r>
    </w:p>
    <w:p>
      <w:pPr>
        <w:rPr>
          <w:rFonts w:ascii="仿宋" w:hAnsi="仿宋" w:eastAsia="仿宋"/>
          <w:b/>
          <w:color w:val="auto"/>
          <w:sz w:val="24"/>
          <w:szCs w:val="24"/>
        </w:rPr>
      </w:pPr>
      <w:r>
        <w:rPr>
          <w:rFonts w:ascii="仿宋" w:hAnsi="仿宋" w:eastAsia="仿宋"/>
          <w:b/>
          <w:color w:val="auto"/>
          <w:sz w:val="24"/>
          <w:szCs w:val="24"/>
        </w:rPr>
        <w:br w:type="page"/>
      </w:r>
    </w:p>
    <w:p>
      <w:pPr>
        <w:jc w:val="both"/>
        <w:outlineLvl w:val="1"/>
        <w:rPr>
          <w:rFonts w:hint="eastAsia" w:ascii="仿宋" w:hAnsi="仿宋" w:eastAsia="仿宋"/>
          <w:b/>
          <w:color w:val="auto"/>
          <w:sz w:val="24"/>
          <w:szCs w:val="24"/>
          <w:lang w:val="en-US" w:eastAsia="zh-CN"/>
        </w:rPr>
      </w:pPr>
    </w:p>
    <w:p>
      <w:pPr>
        <w:jc w:val="center"/>
        <w:outlineLvl w:val="1"/>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bCs/>
          <w:color w:val="auto"/>
          <w:sz w:val="24"/>
          <w:szCs w:val="24"/>
        </w:rPr>
        <w:t>3</w:t>
      </w:r>
      <w:r>
        <w:rPr>
          <w:rFonts w:hint="eastAsia" w:ascii="仿宋" w:hAnsi="仿宋" w:eastAsia="仿宋"/>
          <w:b/>
          <w:bCs/>
          <w:color w:val="auto"/>
          <w:sz w:val="24"/>
          <w:szCs w:val="24"/>
        </w:rPr>
        <w:t>企业</w:t>
      </w:r>
      <w:r>
        <w:rPr>
          <w:rFonts w:hint="eastAsia" w:ascii="仿宋" w:hAnsi="仿宋" w:eastAsia="仿宋"/>
          <w:b/>
          <w:color w:val="auto"/>
          <w:sz w:val="24"/>
          <w:szCs w:val="24"/>
        </w:rPr>
        <w:t>法人营业执照（复印件）</w:t>
      </w:r>
    </w:p>
    <w:p>
      <w:pPr>
        <w:jc w:val="center"/>
        <w:outlineLvl w:val="1"/>
        <w:rPr>
          <w:rFonts w:ascii="仿宋" w:hAnsi="仿宋" w:eastAsia="仿宋"/>
          <w:b/>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现附上由</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（签发机关名称）签发的我方法人营业执照，该执照业经年检，真实有效。</w:t>
      </w: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380" w:lineRule="exact"/>
        <w:outlineLvl w:val="2"/>
        <w:rPr>
          <w:rFonts w:ascii="仿宋" w:hAnsi="仿宋" w:eastAsia="仿宋"/>
          <w:b/>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pStyle w:val="3"/>
        <w:rPr>
          <w:rFonts w:hint="eastAsia"/>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480" w:lineRule="exact"/>
        <w:ind w:firstLine="570"/>
        <w:jc w:val="center"/>
        <w:rPr>
          <w:rFonts w:ascii="仿宋" w:hAnsi="仿宋" w:eastAsia="仿宋"/>
          <w:b/>
          <w:bCs/>
          <w:sz w:val="24"/>
          <w:szCs w:val="24"/>
        </w:rPr>
      </w:pPr>
      <w:bookmarkStart w:id="205" w:name="_Toc255975024"/>
      <w:bookmarkStart w:id="206" w:name="_Toc253066630"/>
      <w:bookmarkStart w:id="207" w:name="_Toc259692757"/>
      <w:bookmarkStart w:id="208" w:name="_Toc259692664"/>
      <w:bookmarkStart w:id="209" w:name="_Toc232302128"/>
      <w:bookmarkStart w:id="210" w:name="_Toc266868944"/>
      <w:bookmarkStart w:id="211" w:name="_Toc254790917"/>
      <w:bookmarkStart w:id="212" w:name="_Toc267059187"/>
      <w:bookmarkStart w:id="213" w:name="_Toc267059812"/>
      <w:bookmarkStart w:id="214" w:name="_Toc251613845"/>
      <w:bookmarkStart w:id="215" w:name="_Toc249325726"/>
      <w:bookmarkStart w:id="216" w:name="_Toc267060222"/>
      <w:bookmarkStart w:id="217" w:name="_Toc266868687"/>
      <w:bookmarkStart w:id="218" w:name="_Toc267059925"/>
      <w:bookmarkStart w:id="219" w:name="_Toc267059545"/>
      <w:bookmarkStart w:id="220" w:name="_Toc273178704"/>
      <w:bookmarkStart w:id="221" w:name="_Toc267059659"/>
      <w:bookmarkStart w:id="222" w:name="_Toc266870923"/>
      <w:bookmarkStart w:id="223" w:name="_Toc266870840"/>
      <w:bookmarkStart w:id="224" w:name="_Toc267060327"/>
      <w:bookmarkStart w:id="225" w:name="_Toc267059036"/>
      <w:bookmarkStart w:id="226" w:name="_Toc258401273"/>
      <w:bookmarkStart w:id="227" w:name="_Toc267060467"/>
      <w:bookmarkStart w:id="228" w:name="_Toc267060082"/>
      <w:bookmarkStart w:id="229" w:name="_Toc259520882"/>
      <w:bookmarkStart w:id="230" w:name="_Toc235438004"/>
      <w:bookmarkStart w:id="231" w:name="_Toc235438358"/>
      <w:bookmarkStart w:id="232" w:name="_Toc251586247"/>
      <w:bookmarkStart w:id="233" w:name="_Toc236021463"/>
      <w:bookmarkStart w:id="234" w:name="_Toc235438287"/>
      <w:bookmarkStart w:id="235" w:name="_Toc266870448"/>
      <w:r>
        <w:rPr>
          <w:rFonts w:ascii="仿宋" w:hAnsi="仿宋" w:eastAsia="仿宋"/>
          <w:b/>
          <w:bCs/>
          <w:sz w:val="24"/>
          <w:szCs w:val="24"/>
        </w:rPr>
        <w:t>4.</w:t>
      </w:r>
      <w:r>
        <w:rPr>
          <w:rFonts w:hint="eastAsia" w:ascii="仿宋" w:hAnsi="仿宋" w:eastAsia="仿宋"/>
          <w:b/>
          <w:bCs/>
          <w:sz w:val="24"/>
          <w:szCs w:val="24"/>
        </w:rPr>
        <w:t>质保和后期服务承诺书</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rPr>
          <w:rFonts w:ascii="仿宋" w:hAnsi="仿宋" w:eastAsia="仿宋"/>
          <w:b/>
          <w:sz w:val="24"/>
          <w:szCs w:val="24"/>
        </w:rPr>
      </w:pPr>
    </w:p>
    <w:p>
      <w:pPr>
        <w:spacing w:line="500" w:lineRule="exact"/>
        <w:ind w:firstLine="480" w:firstLineChars="200"/>
        <w:rPr>
          <w:rFonts w:ascii="仿宋" w:hAnsi="仿宋" w:eastAsia="仿宋"/>
          <w:sz w:val="24"/>
          <w:szCs w:val="24"/>
        </w:rPr>
      </w:pPr>
      <w:r>
        <w:rPr>
          <w:rFonts w:hint="eastAsia" w:ascii="仿宋" w:hAnsi="仿宋" w:eastAsia="仿宋"/>
          <w:sz w:val="24"/>
          <w:szCs w:val="24"/>
        </w:rPr>
        <w:t>参与人根据公开询价文件中对售后服务的要求，结合自身实际情况进行承诺</w:t>
      </w:r>
      <w:r>
        <w:rPr>
          <w:rFonts w:ascii="仿宋" w:hAnsi="仿宋" w:eastAsia="仿宋"/>
          <w:sz w:val="24"/>
          <w:szCs w:val="24"/>
        </w:rPr>
        <w:t>（含</w:t>
      </w:r>
      <w:r>
        <w:rPr>
          <w:rFonts w:hint="eastAsia" w:ascii="仿宋" w:hAnsi="仿宋" w:eastAsia="仿宋"/>
          <w:sz w:val="24"/>
          <w:szCs w:val="24"/>
        </w:rPr>
        <w:t>产品质量</w:t>
      </w:r>
      <w:r>
        <w:rPr>
          <w:rFonts w:ascii="仿宋" w:hAnsi="仿宋" w:eastAsia="仿宋"/>
          <w:sz w:val="24"/>
          <w:szCs w:val="24"/>
        </w:rPr>
        <w:t>保障体系等）、交货</w:t>
      </w:r>
      <w:r>
        <w:rPr>
          <w:rFonts w:hint="eastAsia" w:ascii="仿宋" w:hAnsi="仿宋" w:eastAsia="仿宋"/>
          <w:sz w:val="24"/>
          <w:szCs w:val="24"/>
        </w:rPr>
        <w:t>周</w:t>
      </w:r>
      <w:r>
        <w:rPr>
          <w:rFonts w:ascii="仿宋" w:hAnsi="仿宋" w:eastAsia="仿宋"/>
          <w:sz w:val="24"/>
          <w:szCs w:val="24"/>
        </w:rPr>
        <w:t>期承诺等</w:t>
      </w:r>
      <w:r>
        <w:rPr>
          <w:rFonts w:hint="eastAsia" w:ascii="仿宋" w:hAnsi="仿宋" w:eastAsia="仿宋"/>
          <w:sz w:val="24"/>
          <w:szCs w:val="24"/>
        </w:rPr>
        <w:t>。</w:t>
      </w:r>
    </w:p>
    <w:p>
      <w:pPr>
        <w:spacing w:line="500" w:lineRule="exact"/>
        <w:ind w:firstLine="480"/>
        <w:rPr>
          <w:rFonts w:hint="eastAsia" w:ascii="仿宋" w:hAnsi="仿宋" w:eastAsia="仿宋"/>
          <w:sz w:val="24"/>
          <w:szCs w:val="24"/>
        </w:rPr>
      </w:pPr>
      <w:r>
        <w:rPr>
          <w:rFonts w:hint="eastAsia" w:ascii="仿宋" w:hAnsi="仿宋" w:eastAsia="仿宋"/>
          <w:sz w:val="24"/>
          <w:szCs w:val="24"/>
        </w:rPr>
        <w:t>承诺如下：</w:t>
      </w:r>
    </w:p>
    <w:p>
      <w:pPr>
        <w:pStyle w:val="11"/>
        <w:keepNext w:val="0"/>
        <w:keepLines w:val="0"/>
        <w:pageBreakBefore w:val="0"/>
        <w:widowControl w:val="0"/>
        <w:numPr>
          <w:ilvl w:val="3"/>
          <w:numId w:val="4"/>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val="en-US" w:eastAsia="zh-CN"/>
        </w:rPr>
        <w:t>至少2年</w:t>
      </w:r>
      <w:r>
        <w:rPr>
          <w:rFonts w:hint="eastAsia" w:ascii="仿宋" w:hAnsi="仿宋" w:eastAsia="仿宋"/>
          <w:sz w:val="24"/>
          <w:szCs w:val="24"/>
          <w:lang w:eastAsia="zh-CN"/>
        </w:rPr>
        <w:t>；</w:t>
      </w:r>
    </w:p>
    <w:p>
      <w:pPr>
        <w:pStyle w:val="11"/>
        <w:widowControl w:val="0"/>
        <w:numPr>
          <w:ilvl w:val="0"/>
          <w:numId w:val="0"/>
        </w:numPr>
        <w:spacing w:after="0" w:line="500" w:lineRule="exact"/>
        <w:ind w:left="426" w:leftChars="0"/>
        <w:jc w:val="left"/>
        <w:rPr>
          <w:rFonts w:ascii="仿宋" w:hAnsi="仿宋" w:eastAsia="仿宋"/>
          <w:sz w:val="24"/>
          <w:szCs w:val="24"/>
        </w:rPr>
      </w:pPr>
      <w:r>
        <w:rPr>
          <w:rFonts w:hint="eastAsia" w:ascii="仿宋" w:hAnsi="仿宋" w:eastAsia="仿宋"/>
          <w:sz w:val="24"/>
          <w:szCs w:val="24"/>
          <w:lang w:val="en-US" w:eastAsia="zh-CN"/>
        </w:rPr>
        <w:t>2.</w:t>
      </w:r>
      <w:r>
        <w:rPr>
          <w:rFonts w:hint="eastAsia" w:ascii="仿宋" w:hAnsi="仿宋" w:eastAsia="仿宋"/>
          <w:sz w:val="24"/>
          <w:szCs w:val="24"/>
        </w:rPr>
        <w:t>应急维修时间安排：</w:t>
      </w:r>
    </w:p>
    <w:p>
      <w:pPr>
        <w:pStyle w:val="11"/>
        <w:widowControl w:val="0"/>
        <w:numPr>
          <w:ilvl w:val="0"/>
          <w:numId w:val="0"/>
        </w:numPr>
        <w:spacing w:after="0" w:line="500" w:lineRule="exact"/>
        <w:ind w:left="426" w:leftChars="0"/>
        <w:jc w:val="left"/>
        <w:rPr>
          <w:rFonts w:ascii="仿宋" w:hAnsi="仿宋" w:eastAsia="仿宋"/>
          <w:sz w:val="24"/>
          <w:szCs w:val="24"/>
        </w:rPr>
      </w:pPr>
      <w:r>
        <w:rPr>
          <w:rFonts w:hint="eastAsia" w:ascii="仿宋" w:hAnsi="仿宋" w:eastAsia="仿宋"/>
          <w:sz w:val="24"/>
          <w:szCs w:val="24"/>
          <w:lang w:val="en-US" w:eastAsia="zh-CN"/>
        </w:rPr>
        <w:t>3.</w:t>
      </w:r>
      <w:r>
        <w:rPr>
          <w:rFonts w:hint="eastAsia" w:ascii="仿宋" w:hAnsi="仿宋" w:eastAsia="仿宋"/>
          <w:sz w:val="24"/>
          <w:szCs w:val="24"/>
        </w:rPr>
        <w:t>培训计划及人员安排：</w:t>
      </w:r>
    </w:p>
    <w:p>
      <w:pPr>
        <w:pStyle w:val="11"/>
        <w:widowControl w:val="0"/>
        <w:numPr>
          <w:ilvl w:val="0"/>
          <w:numId w:val="0"/>
        </w:numPr>
        <w:spacing w:after="0" w:line="500" w:lineRule="exact"/>
        <w:ind w:left="426" w:leftChars="0"/>
        <w:jc w:val="left"/>
        <w:rPr>
          <w:rFonts w:ascii="仿宋" w:hAnsi="仿宋" w:eastAsia="仿宋"/>
          <w:sz w:val="24"/>
          <w:szCs w:val="24"/>
        </w:rPr>
      </w:pPr>
      <w:r>
        <w:rPr>
          <w:rFonts w:hint="eastAsia" w:ascii="仿宋" w:hAnsi="仿宋" w:eastAsia="仿宋"/>
          <w:sz w:val="24"/>
          <w:szCs w:val="24"/>
          <w:lang w:val="en-US" w:eastAsia="zh-CN"/>
        </w:rPr>
        <w:t>4.</w:t>
      </w:r>
      <w:r>
        <w:rPr>
          <w:rFonts w:hint="eastAsia" w:ascii="仿宋" w:hAnsi="仿宋" w:eastAsia="仿宋"/>
          <w:sz w:val="24"/>
          <w:szCs w:val="24"/>
        </w:rPr>
        <w:t>维修地点、地址、联系电话及联系人员：</w:t>
      </w:r>
    </w:p>
    <w:p>
      <w:pPr>
        <w:pStyle w:val="11"/>
        <w:widowControl w:val="0"/>
        <w:numPr>
          <w:ilvl w:val="0"/>
          <w:numId w:val="0"/>
        </w:numPr>
        <w:spacing w:after="0" w:line="500" w:lineRule="exact"/>
        <w:ind w:left="426" w:leftChars="0"/>
        <w:jc w:val="left"/>
        <w:rPr>
          <w:rFonts w:ascii="仿宋" w:hAnsi="仿宋" w:eastAsia="仿宋"/>
          <w:sz w:val="24"/>
          <w:szCs w:val="24"/>
        </w:rPr>
      </w:pPr>
      <w:r>
        <w:rPr>
          <w:rFonts w:hint="eastAsia" w:ascii="仿宋" w:hAnsi="仿宋" w:eastAsia="仿宋"/>
          <w:sz w:val="24"/>
          <w:szCs w:val="24"/>
          <w:lang w:val="en-US" w:eastAsia="zh-CN"/>
        </w:rPr>
        <w:t>5.</w:t>
      </w:r>
      <w:r>
        <w:rPr>
          <w:rFonts w:hint="eastAsia" w:ascii="仿宋" w:hAnsi="仿宋" w:eastAsia="仿宋"/>
          <w:sz w:val="24"/>
          <w:szCs w:val="24"/>
        </w:rPr>
        <w:t>维修服务收费标准：</w:t>
      </w:r>
    </w:p>
    <w:p>
      <w:pPr>
        <w:pStyle w:val="11"/>
        <w:widowControl w:val="0"/>
        <w:numPr>
          <w:ilvl w:val="0"/>
          <w:numId w:val="0"/>
        </w:numPr>
        <w:spacing w:after="0" w:line="500" w:lineRule="exact"/>
        <w:ind w:left="426" w:leftChars="0"/>
        <w:jc w:val="left"/>
        <w:rPr>
          <w:rFonts w:ascii="仿宋" w:hAnsi="仿宋" w:eastAsia="仿宋"/>
          <w:sz w:val="24"/>
          <w:szCs w:val="24"/>
        </w:rPr>
      </w:pPr>
      <w:r>
        <w:rPr>
          <w:rFonts w:hint="eastAsia" w:ascii="仿宋" w:hAnsi="仿宋" w:eastAsia="仿宋"/>
          <w:sz w:val="24"/>
          <w:szCs w:val="24"/>
          <w:lang w:val="en-US" w:eastAsia="zh-CN"/>
        </w:rPr>
        <w:t>6.</w:t>
      </w:r>
      <w:r>
        <w:rPr>
          <w:rFonts w:hint="eastAsia" w:ascii="仿宋" w:hAnsi="仿宋" w:eastAsia="仿宋"/>
          <w:sz w:val="24"/>
          <w:szCs w:val="24"/>
        </w:rPr>
        <w:t>主要零配件及易耗品价格：</w:t>
      </w:r>
    </w:p>
    <w:p>
      <w:pPr>
        <w:pStyle w:val="11"/>
        <w:widowControl w:val="0"/>
        <w:numPr>
          <w:ilvl w:val="0"/>
          <w:numId w:val="0"/>
        </w:numPr>
        <w:spacing w:after="0" w:line="500" w:lineRule="exact"/>
        <w:ind w:left="426" w:leftChars="0"/>
        <w:jc w:val="left"/>
      </w:pPr>
      <w:r>
        <w:rPr>
          <w:rFonts w:hint="eastAsia" w:ascii="仿宋" w:hAnsi="仿宋" w:eastAsia="仿宋"/>
          <w:sz w:val="24"/>
          <w:szCs w:val="24"/>
          <w:lang w:val="en-US" w:eastAsia="zh-CN"/>
        </w:rPr>
        <w:t>7.</w:t>
      </w:r>
      <w:r>
        <w:rPr>
          <w:rFonts w:hint="eastAsia" w:ascii="仿宋" w:hAnsi="仿宋" w:eastAsia="仿宋"/>
          <w:sz w:val="24"/>
          <w:szCs w:val="24"/>
        </w:rPr>
        <w:t>制造商的技术支持。</w:t>
      </w:r>
    </w:p>
    <w:p>
      <w:pPr>
        <w:spacing w:line="420" w:lineRule="exact"/>
        <w:ind w:firstLine="480"/>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jc w:val="both"/>
        <w:rPr>
          <w:rFonts w:ascii="仿宋" w:hAnsi="仿宋" w:eastAsia="仿宋"/>
          <w:sz w:val="24"/>
          <w:szCs w:val="24"/>
        </w:rPr>
      </w:pPr>
      <w:r>
        <w:rPr>
          <w:rFonts w:hint="eastAsia" w:ascii="仿宋" w:hAnsi="仿宋" w:eastAsia="仿宋"/>
          <w:sz w:val="24"/>
          <w:szCs w:val="24"/>
        </w:rPr>
        <w:t>参 与 人（</w:t>
      </w:r>
      <w:r>
        <w:rPr>
          <w:rFonts w:hint="eastAsia" w:ascii="仿宋" w:hAnsi="仿宋" w:eastAsia="仿宋"/>
          <w:sz w:val="24"/>
          <w:szCs w:val="24"/>
          <w:lang w:val="zh-CN"/>
        </w:rPr>
        <w:t>公司全称并加盖公章</w:t>
      </w:r>
      <w:r>
        <w:rPr>
          <w:rFonts w:hint="eastAsia" w:ascii="仿宋" w:hAnsi="仿宋" w:eastAsia="仿宋"/>
          <w:sz w:val="24"/>
          <w:szCs w:val="24"/>
        </w:rPr>
        <w:t>）：</w:t>
      </w:r>
    </w:p>
    <w:p>
      <w:pPr>
        <w:spacing w:line="380" w:lineRule="exact"/>
        <w:ind w:firstLine="5040" w:firstLineChars="2100"/>
        <w:jc w:val="both"/>
        <w:rPr>
          <w:rFonts w:ascii="仿宋" w:hAnsi="仿宋" w:eastAsia="仿宋"/>
          <w:sz w:val="24"/>
          <w:szCs w:val="24"/>
        </w:rPr>
      </w:pPr>
      <w:r>
        <w:rPr>
          <w:rFonts w:hint="eastAsia" w:ascii="仿宋" w:hAnsi="仿宋" w:eastAsia="仿宋"/>
          <w:sz w:val="24"/>
          <w:szCs w:val="24"/>
        </w:rPr>
        <w:t>参与人授权代表：</w:t>
      </w:r>
    </w:p>
    <w:p>
      <w:pPr>
        <w:pStyle w:val="3"/>
        <w:ind w:firstLine="5760" w:firstLineChars="2400"/>
        <w:rPr>
          <w:rFonts w:ascii="仿宋" w:hAnsi="仿宋" w:eastAsia="仿宋"/>
          <w:color w:val="auto"/>
          <w:sz w:val="24"/>
          <w:szCs w:val="24"/>
        </w:rPr>
      </w:pPr>
      <w:r>
        <w:rPr>
          <w:rFonts w:hint="eastAsia" w:ascii="仿宋" w:hAnsi="仿宋" w:eastAsia="仿宋"/>
          <w:sz w:val="24"/>
          <w:szCs w:val="24"/>
        </w:rPr>
        <w:t>日    期：</w:t>
      </w:r>
    </w:p>
    <w:p>
      <w:pPr>
        <w:pStyle w:val="3"/>
        <w:rPr>
          <w:rFonts w:ascii="仿宋" w:hAnsi="仿宋" w:eastAsia="仿宋"/>
          <w:sz w:val="24"/>
          <w:szCs w:val="24"/>
        </w:rPr>
      </w:pPr>
    </w:p>
    <w:p>
      <w:pPr>
        <w:pStyle w:val="13"/>
        <w:rPr>
          <w:rFonts w:hint="eastAsia" w:ascii="仿宋" w:hAnsi="仿宋" w:eastAsia="仿宋" w:cs="仿宋"/>
          <w:color w:val="auto"/>
          <w:sz w:val="32"/>
          <w:szCs w:val="32"/>
          <w:lang w:val="en-US" w:eastAsia="zh-CN" w:bidi="ar-SA"/>
        </w:rPr>
      </w:pPr>
    </w:p>
    <w:p>
      <w:pPr>
        <w:pStyle w:val="13"/>
        <w:rPr>
          <w:rFonts w:hint="eastAsia" w:ascii="仿宋" w:hAnsi="仿宋" w:eastAsia="仿宋" w:cs="仿宋"/>
          <w:color w:val="auto"/>
          <w:sz w:val="32"/>
          <w:szCs w:val="32"/>
          <w:lang w:val="en-US" w:eastAsia="zh-CN" w:bidi="ar-SA"/>
        </w:rPr>
      </w:pPr>
    </w:p>
    <w:tbl>
      <w:tblPr>
        <w:tblStyle w:val="7"/>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sectPr>
      <w:headerReference r:id="rId21" w:type="first"/>
      <w:footerReference r:id="rId23" w:type="first"/>
      <w:headerReference r:id="rId20" w:type="default"/>
      <w:footerReference r:id="rId22" w:type="default"/>
      <w:pgSz w:w="11906" w:h="16838"/>
      <w:pgMar w:top="1440" w:right="1416" w:bottom="1440" w:left="1134" w:header="851" w:footer="992" w:gutter="0"/>
      <w:pgNumType w:fmt="decimal"/>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sz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5"/>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txbxContent>
              </v:textbox>
            </v:shape>
          </w:pict>
        </mc:Fallback>
      </mc:AlternateContent>
    </w:r>
  </w:p>
  <w:sdt>
    <w:sdtPr>
      <w:id w:val="-467357217"/>
      <w:docPartObj>
        <w:docPartGallery w:val="autotext"/>
      </w:docPartObj>
    </w:sdtPr>
    <w:sdtContent>
      <w:sdt>
        <w:sdtPr>
          <w:id w:val="455225834"/>
          <w:docPartObj>
            <w:docPartGallery w:val="autotext"/>
          </w:docPartObj>
        </w:sdtPr>
        <w:sdtContent>
          <w:p>
            <w:pPr>
              <w:pStyle w:val="5"/>
              <w:jc w:val="center"/>
              <w:rPr>
                <w:b/>
                <w:bCs/>
                <w:sz w:val="24"/>
                <w:szCs w:val="24"/>
              </w:rPr>
            </w:pPr>
          </w:p>
          <w:p>
            <w:pPr>
              <w:pStyle w:val="5"/>
              <w:jc w:val="center"/>
            </w:pP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sz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Edhgz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EdhgzAgAAYwQAAA4AAAAAAAAAAQAgAAAAHwEAAGRycy9lMm9Eb2MueG1sUEsF&#10;BgAAAAAGAAYAWQEAAMQFA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sdt>
    <w:sdtPr>
      <w:id w:val="-467357217"/>
      <w:docPartObj>
        <w:docPartGallery w:val="autotext"/>
      </w:docPartObj>
    </w:sdtPr>
    <w:sdtContent>
      <w:sdt>
        <w:sdtPr>
          <w:id w:val="455225834"/>
          <w:docPartObj>
            <w:docPartGallery w:val="autotext"/>
          </w:docPartObj>
        </w:sdtPr>
        <w:sdtContent>
          <w:p>
            <w:pPr>
              <w:pStyle w:val="5"/>
              <w:jc w:val="center"/>
              <w:rPr>
                <w:b/>
                <w:bCs/>
                <w:sz w:val="24"/>
                <w:szCs w:val="24"/>
              </w:rPr>
            </w:pPr>
          </w:p>
          <w:p>
            <w:pPr>
              <w:pStyle w:val="5"/>
              <w:jc w:val="center"/>
            </w:pP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sz w:val="18"/>
      </w:rPr>
    </w:pPr>
  </w:p>
  <w:sdt>
    <w:sdtPr>
      <w:id w:val="-467357217"/>
      <w:docPartObj>
        <w:docPartGallery w:val="autotext"/>
      </w:docPartObj>
    </w:sdtPr>
    <w:sdtContent>
      <w:sdt>
        <w:sdtPr>
          <w:id w:val="455225834"/>
          <w:docPartObj>
            <w:docPartGallery w:val="autotext"/>
          </w:docPartObj>
        </w:sdtPr>
        <w:sdtContent>
          <w:p>
            <w:pPr>
              <w:pStyle w:val="5"/>
              <w:jc w:val="center"/>
              <w:rPr>
                <w:b/>
                <w:bCs/>
                <w:sz w:val="24"/>
                <w:szCs w:val="24"/>
              </w:rPr>
            </w:pPr>
          </w:p>
          <w:p>
            <w:pPr>
              <w:pStyle w:val="5"/>
              <w:jc w:val="center"/>
            </w:pPr>
          </w:p>
        </w:sdtContent>
      </w:sdt>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pPr>
                      <w:pStyle w:val="5"/>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rPr>
      <w:t>学校L</w:t>
    </w:r>
    <w:r>
      <w:t>OGO</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rPr>
      <w:t>学校L</w:t>
    </w:r>
    <w:r>
      <w:t>OGO</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sz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Fonts w:hint="eastAsia"/>
        <w:lang w:val="en-US" w:eastAsia="zh-CN"/>
      </w:rPr>
      <w:drawing>
        <wp:inline distT="0" distB="0" distL="114300" distR="114300">
          <wp:extent cx="3159760" cy="413385"/>
          <wp:effectExtent l="0" t="0" r="0" b="5080"/>
          <wp:docPr id="11" name="图片 1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Theme="minor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6"/>
                      <w:rPr>
                        <w:rFonts w:hint="eastAsia" w:eastAsiaTheme="minorEastAsia"/>
                        <w:lang w:eastAsia="zh-CN"/>
                      </w:rPr>
                    </w:pPr>
                  </w:p>
                </w:txbxContent>
              </v:textbox>
            </v:shap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160" w:hanging="720"/>
      </w:pPr>
      <w:rPr>
        <w:rFonts w:hint="default"/>
      </w:rPr>
    </w:lvl>
    <w:lvl w:ilvl="1" w:tentative="0">
      <w:start w:val="1"/>
      <w:numFmt w:val="lowerLetter"/>
      <w:lvlText w:val="%2)"/>
      <w:lvlJc w:val="left"/>
      <w:pPr>
        <w:ind w:left="888" w:hanging="420"/>
      </w:pPr>
    </w:lvl>
    <w:lvl w:ilvl="2" w:tentative="0">
      <w:start w:val="1"/>
      <w:numFmt w:val="lowerRoman"/>
      <w:lvlText w:val="%3."/>
      <w:lvlJc w:val="right"/>
      <w:pPr>
        <w:ind w:left="1308" w:hanging="420"/>
      </w:pPr>
    </w:lvl>
    <w:lvl w:ilvl="3" w:tentative="0">
      <w:start w:val="1"/>
      <w:numFmt w:val="decimal"/>
      <w:lvlText w:val="%4."/>
      <w:lvlJc w:val="left"/>
      <w:pPr>
        <w:ind w:left="1728" w:hanging="420"/>
      </w:pPr>
    </w:lvl>
    <w:lvl w:ilvl="4" w:tentative="0">
      <w:start w:val="1"/>
      <w:numFmt w:val="lowerLetter"/>
      <w:lvlText w:val="%5)"/>
      <w:lvlJc w:val="left"/>
      <w:pPr>
        <w:ind w:left="2148" w:hanging="420"/>
      </w:pPr>
    </w:lvl>
    <w:lvl w:ilvl="5" w:tentative="0">
      <w:start w:val="1"/>
      <w:numFmt w:val="lowerRoman"/>
      <w:lvlText w:val="%6."/>
      <w:lvlJc w:val="right"/>
      <w:pPr>
        <w:ind w:left="2568" w:hanging="420"/>
      </w:pPr>
    </w:lvl>
    <w:lvl w:ilvl="6" w:tentative="0">
      <w:start w:val="1"/>
      <w:numFmt w:val="decimal"/>
      <w:lvlText w:val="%7."/>
      <w:lvlJc w:val="left"/>
      <w:pPr>
        <w:ind w:left="2988" w:hanging="420"/>
      </w:pPr>
    </w:lvl>
    <w:lvl w:ilvl="7" w:tentative="0">
      <w:start w:val="1"/>
      <w:numFmt w:val="lowerLetter"/>
      <w:lvlText w:val="%8)"/>
      <w:lvlJc w:val="left"/>
      <w:pPr>
        <w:ind w:left="3408" w:hanging="420"/>
      </w:pPr>
    </w:lvl>
    <w:lvl w:ilvl="8" w:tentative="0">
      <w:start w:val="1"/>
      <w:numFmt w:val="lowerRoman"/>
      <w:lvlText w:val="%9."/>
      <w:lvlJc w:val="right"/>
      <w:pPr>
        <w:ind w:left="3828" w:hanging="420"/>
      </w:pPr>
    </w:lvl>
  </w:abstractNum>
  <w:abstractNum w:abstractNumId="1">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4">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3"/>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iMmJjMGUyMDNhMGI0MjllZTc4OTE3ODRjOTBjMWQifQ=="/>
  </w:docVars>
  <w:rsids>
    <w:rsidRoot w:val="00000000"/>
    <w:rsid w:val="048D6C03"/>
    <w:rsid w:val="14157EB3"/>
    <w:rsid w:val="16185156"/>
    <w:rsid w:val="16BB174F"/>
    <w:rsid w:val="19A25AF8"/>
    <w:rsid w:val="1F090887"/>
    <w:rsid w:val="25541DF5"/>
    <w:rsid w:val="27AF06DF"/>
    <w:rsid w:val="27B94F5A"/>
    <w:rsid w:val="2FD234CA"/>
    <w:rsid w:val="31482617"/>
    <w:rsid w:val="3EC35878"/>
    <w:rsid w:val="40A85EF6"/>
    <w:rsid w:val="42E56985"/>
    <w:rsid w:val="4C4F7972"/>
    <w:rsid w:val="4EB00571"/>
    <w:rsid w:val="50D33ED4"/>
    <w:rsid w:val="56B97AAE"/>
    <w:rsid w:val="5D2B1E02"/>
    <w:rsid w:val="6882296F"/>
    <w:rsid w:val="6A2A7B66"/>
    <w:rsid w:val="751F2D64"/>
    <w:rsid w:val="76510545"/>
    <w:rsid w:val="772308D8"/>
    <w:rsid w:val="7CDE0ED8"/>
    <w:rsid w:val="7EB509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UserStyle_0"/>
    <w:basedOn w:val="1"/>
    <w:next w:val="1"/>
    <w:qFormat/>
    <w:uiPriority w:val="0"/>
    <w:pPr>
      <w:widowControl/>
      <w:spacing w:after="120" w:line="251" w:lineRule="auto"/>
      <w:jc w:val="both"/>
      <w:textAlignment w:val="baseline"/>
    </w:pPr>
  </w:style>
  <w:style w:type="paragraph" w:styleId="3">
    <w:name w:val="Body Text"/>
    <w:basedOn w:val="1"/>
    <w:semiHidden/>
    <w:unhideWhenUsed/>
    <w:qFormat/>
    <w:uiPriority w:val="99"/>
    <w:pPr>
      <w:spacing w:after="120"/>
    </w:pPr>
  </w:style>
  <w:style w:type="paragraph" w:styleId="4">
    <w:name w:val="Plain Text"/>
    <w:basedOn w:val="1"/>
    <w:unhideWhenUsed/>
    <w:qFormat/>
    <w:uiPriority w:val="0"/>
    <w:rPr>
      <w:rFonts w:hAnsi="Courier New" w:cs="Courier New" w:asciiTheme="minorEastAsia"/>
    </w:rPr>
  </w:style>
  <w:style w:type="paragraph" w:styleId="5">
    <w:name w:val="footer"/>
    <w:basedOn w:val="1"/>
    <w:unhideWhenUsed/>
    <w:uiPriority w:val="99"/>
    <w:pPr>
      <w:tabs>
        <w:tab w:val="center" w:pos="4153"/>
        <w:tab w:val="right" w:pos="8306"/>
      </w:tabs>
      <w:snapToGrid w:val="0"/>
      <w:spacing w:line="240" w:lineRule="auto"/>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character" w:styleId="9">
    <w:name w:val="Hyperlink"/>
    <w:basedOn w:val="8"/>
    <w:unhideWhenUsed/>
    <w:qFormat/>
    <w:uiPriority w:val="99"/>
    <w:rPr>
      <w:color w:val="0563C1" w:themeColor="hyperlink"/>
      <w:u w:val="single"/>
      <w14:textFill>
        <w14:solidFill>
          <w14:schemeClr w14:val="hlink"/>
        </w14:solidFill>
      </w14:textFill>
    </w:rPr>
  </w:style>
  <w:style w:type="paragraph" w:customStyle="1" w:styleId="10">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11">
    <w:name w:val="List Paragraph"/>
    <w:basedOn w:val="1"/>
    <w:qFormat/>
    <w:uiPriority w:val="34"/>
    <w:pPr>
      <w:ind w:firstLine="420" w:firstLineChars="200"/>
    </w:pPr>
  </w:style>
  <w:style w:type="paragraph" w:customStyle="1" w:styleId="12">
    <w:name w:val="样式3"/>
    <w:basedOn w:val="4"/>
    <w:qFormat/>
    <w:uiPriority w:val="0"/>
    <w:pPr>
      <w:widowControl w:val="0"/>
      <w:spacing w:after="0" w:line="0" w:lineRule="atLeast"/>
      <w:outlineLvl w:val="0"/>
    </w:pPr>
    <w:rPr>
      <w:rFonts w:ascii="宋体" w:eastAsia="宋体" w:cs="Times New Roman"/>
      <w:kern w:val="2"/>
      <w:sz w:val="28"/>
      <w:szCs w:val="20"/>
    </w:rPr>
  </w:style>
  <w:style w:type="paragraph" w:styleId="13">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character" w:customStyle="1" w:styleId="14">
    <w:name w:val="font201"/>
    <w:basedOn w:val="8"/>
    <w:qFormat/>
    <w:uiPriority w:val="0"/>
    <w:rPr>
      <w:rFonts w:ascii="Calibri" w:hAnsi="Calibri" w:cs="Calibri"/>
      <w:color w:val="000000"/>
      <w:sz w:val="18"/>
      <w:szCs w:val="18"/>
      <w:u w:val="none"/>
    </w:rPr>
  </w:style>
  <w:style w:type="character" w:customStyle="1" w:styleId="15">
    <w:name w:val="font81"/>
    <w:basedOn w:val="8"/>
    <w:uiPriority w:val="0"/>
    <w:rPr>
      <w:rFonts w:hint="eastAsia" w:ascii="宋体" w:hAnsi="宋体" w:eastAsia="宋体" w:cs="宋体"/>
      <w:color w:val="000000"/>
      <w:sz w:val="18"/>
      <w:szCs w:val="18"/>
      <w:u w:val="none"/>
    </w:rPr>
  </w:style>
  <w:style w:type="character" w:customStyle="1" w:styleId="16">
    <w:name w:val="font251"/>
    <w:basedOn w:val="8"/>
    <w:uiPriority w:val="0"/>
    <w:rPr>
      <w:rFonts w:hint="default" w:ascii="Calibri" w:hAnsi="Calibri" w:cs="Calibri"/>
      <w:color w:val="000000"/>
      <w:sz w:val="18"/>
      <w:szCs w:val="18"/>
      <w:u w:val="none"/>
    </w:rPr>
  </w:style>
  <w:style w:type="character" w:customStyle="1" w:styleId="17">
    <w:name w:val="font01"/>
    <w:basedOn w:val="8"/>
    <w:qFormat/>
    <w:uiPriority w:val="0"/>
    <w:rPr>
      <w:rFonts w:hint="eastAsia" w:ascii="宋体" w:hAnsi="宋体" w:eastAsia="宋体" w:cs="宋体"/>
      <w:color w:val="000000"/>
      <w:sz w:val="18"/>
      <w:szCs w:val="18"/>
      <w:u w:val="none"/>
    </w:rPr>
  </w:style>
  <w:style w:type="character" w:customStyle="1" w:styleId="18">
    <w:name w:val="font191"/>
    <w:basedOn w:val="8"/>
    <w:uiPriority w:val="0"/>
    <w:rPr>
      <w:rFonts w:ascii="Arial" w:hAnsi="Arial" w:cs="Arial"/>
      <w:b/>
      <w:color w:val="000000"/>
      <w:sz w:val="22"/>
      <w:szCs w:val="22"/>
      <w:u w:val="none"/>
    </w:rPr>
  </w:style>
  <w:style w:type="character" w:customStyle="1" w:styleId="19">
    <w:name w:val="font141"/>
    <w:basedOn w:val="8"/>
    <w:uiPriority w:val="0"/>
    <w:rPr>
      <w:rFonts w:hint="eastAsia" w:ascii="宋体" w:hAnsi="宋体" w:eastAsia="宋体" w:cs="宋体"/>
      <w:b/>
      <w:color w:val="000000"/>
      <w:sz w:val="22"/>
      <w:szCs w:val="22"/>
      <w:u w:val="none"/>
    </w:rPr>
  </w:style>
  <w:style w:type="character" w:customStyle="1" w:styleId="20">
    <w:name w:val="font61"/>
    <w:basedOn w:val="8"/>
    <w:uiPriority w:val="0"/>
    <w:rPr>
      <w:rFonts w:hint="eastAsia" w:ascii="宋体" w:hAnsi="宋体" w:eastAsia="宋体" w:cs="宋体"/>
      <w:b/>
      <w:bCs/>
      <w:color w:val="000000"/>
      <w:sz w:val="20"/>
      <w:szCs w:val="20"/>
      <w:u w:val="none"/>
    </w:rPr>
  </w:style>
  <w:style w:type="character" w:customStyle="1" w:styleId="21">
    <w:name w:val="font41"/>
    <w:basedOn w:val="8"/>
    <w:uiPriority w:val="0"/>
    <w:rPr>
      <w:rFonts w:hint="eastAsia" w:ascii="宋体" w:hAnsi="宋体" w:eastAsia="宋体" w:cs="宋体"/>
      <w:color w:val="000000"/>
      <w:sz w:val="18"/>
      <w:szCs w:val="18"/>
      <w:u w:val="none"/>
    </w:rPr>
  </w:style>
  <w:style w:type="character" w:customStyle="1" w:styleId="22">
    <w:name w:val="font31"/>
    <w:basedOn w:val="8"/>
    <w:uiPriority w:val="0"/>
    <w:rPr>
      <w:rFonts w:hint="eastAsia" w:ascii="宋体" w:hAnsi="宋体" w:eastAsia="宋体" w:cs="宋体"/>
      <w:color w:val="000000"/>
      <w:sz w:val="20"/>
      <w:szCs w:val="20"/>
      <w:u w:val="none"/>
    </w:rPr>
  </w:style>
  <w:style w:type="character" w:customStyle="1" w:styleId="23">
    <w:name w:val="font151"/>
    <w:basedOn w:val="8"/>
    <w:uiPriority w:val="0"/>
    <w:rPr>
      <w:rFonts w:ascii="Arial" w:hAnsi="Arial" w:cs="Arial"/>
      <w:b/>
      <w:bCs/>
      <w:color w:val="000000"/>
      <w:sz w:val="22"/>
      <w:szCs w:val="22"/>
      <w:u w:val="none"/>
    </w:rPr>
  </w:style>
  <w:style w:type="character" w:customStyle="1" w:styleId="24">
    <w:name w:val="font51"/>
    <w:basedOn w:val="8"/>
    <w:uiPriority w:val="0"/>
    <w:rPr>
      <w:rFonts w:hint="eastAsia" w:ascii="宋体" w:hAnsi="宋体" w:eastAsia="宋体" w:cs="宋体"/>
      <w:b/>
      <w:bCs/>
      <w:color w:val="000000"/>
      <w:sz w:val="22"/>
      <w:szCs w:val="22"/>
      <w:u w:val="none"/>
    </w:rPr>
  </w:style>
  <w:style w:type="character" w:customStyle="1" w:styleId="25">
    <w:name w:val="font161"/>
    <w:basedOn w:val="8"/>
    <w:uiPriority w:val="0"/>
    <w:rPr>
      <w:rFonts w:hint="eastAsia" w:ascii="宋体" w:hAnsi="宋体" w:eastAsia="宋体" w:cs="宋体"/>
      <w:b/>
      <w:bCs/>
      <w:color w:val="FF0000"/>
      <w:sz w:val="22"/>
      <w:szCs w:val="22"/>
      <w:u w:val="none"/>
    </w:rPr>
  </w:style>
  <w:style w:type="character" w:customStyle="1" w:styleId="26">
    <w:name w:val="font131"/>
    <w:basedOn w:val="8"/>
    <w:uiPriority w:val="0"/>
    <w:rPr>
      <w:rFonts w:ascii="Calibri" w:hAnsi="Calibri" w:cs="Calibri"/>
      <w:color w:val="000000"/>
      <w:sz w:val="18"/>
      <w:szCs w:val="18"/>
      <w:u w:val="none"/>
    </w:rPr>
  </w:style>
  <w:style w:type="character" w:customStyle="1" w:styleId="27">
    <w:name w:val="font21"/>
    <w:basedOn w:val="8"/>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theme" Target="theme/theme1.xml"/><Relationship Id="rId23" Type="http://schemas.openxmlformats.org/officeDocument/2006/relationships/footer" Target="footer5.xml"/><Relationship Id="rId22" Type="http://schemas.openxmlformats.org/officeDocument/2006/relationships/footer" Target="footer4.xml"/><Relationship Id="rId21" Type="http://schemas.openxmlformats.org/officeDocument/2006/relationships/header" Target="header14.xml"/><Relationship Id="rId20" Type="http://schemas.openxmlformats.org/officeDocument/2006/relationships/header" Target="header13.xml"/><Relationship Id="rId2" Type="http://schemas.openxmlformats.org/officeDocument/2006/relationships/settings" Target="settings.xml"/><Relationship Id="rId19" Type="http://schemas.openxmlformats.org/officeDocument/2006/relationships/footer" Target="footer3.xml"/><Relationship Id="rId18" Type="http://schemas.openxmlformats.org/officeDocument/2006/relationships/header" Target="header12.xml"/><Relationship Id="rId17" Type="http://schemas.openxmlformats.org/officeDocument/2006/relationships/header" Target="header11.xml"/><Relationship Id="rId16" Type="http://schemas.openxmlformats.org/officeDocument/2006/relationships/footer" Target="footer2.xml"/><Relationship Id="rId15" Type="http://schemas.openxmlformats.org/officeDocument/2006/relationships/footer" Target="footer1.xml"/><Relationship Id="rId14" Type="http://schemas.openxmlformats.org/officeDocument/2006/relationships/header" Target="header10.xml"/><Relationship Id="rId13" Type="http://schemas.openxmlformats.org/officeDocument/2006/relationships/header" Target="header9.xml"/><Relationship Id="rId12" Type="http://schemas.openxmlformats.org/officeDocument/2006/relationships/header" Target="header8.xml"/><Relationship Id="rId11" Type="http://schemas.openxmlformats.org/officeDocument/2006/relationships/header" Target="header7.xml"/><Relationship Id="rId10" Type="http://schemas.openxmlformats.org/officeDocument/2006/relationships/header" Target="header6.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2023-03-03T07:35:00Z</dcterms:created>
  <dc:creator>Administrator</dc:creator>
  <cp:lastModifiedBy>采购管理科</cp:lastModifiedBy>
  <dcterms:modified xsi:type="dcterms:W3CDTF">2023-03-06T03:50:11Z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2CA0DD13082444BCBA94E13F72D105CA</vt:lpwstr>
  </property>
</Properties>
</file>