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360" w:lineRule="auto"/>
        <w:jc w:val="center"/>
        <w:outlineLvl w:val="0"/>
        <w:rPr>
          <w:rFonts w:ascii="仿宋" w:hAnsi="仿宋" w:eastAsia="仿宋"/>
          <w:b/>
          <w:color w:val="auto"/>
          <w:sz w:val="44"/>
          <w:szCs w:val="44"/>
        </w:rPr>
      </w:pPr>
      <w:bookmarkStart w:id="0" w:name="_Toc212526081"/>
      <w:bookmarkStart w:id="1" w:name="_Toc249325665"/>
      <w:bookmarkStart w:id="2" w:name="_Toc219800200"/>
      <w:bookmarkStart w:id="3" w:name="_Toc259692600"/>
      <w:bookmarkStart w:id="4" w:name="_Toc170798743"/>
      <w:bookmarkStart w:id="5" w:name="_Toc266870386"/>
      <w:bookmarkStart w:id="6" w:name="_Toc267059899"/>
      <w:bookmarkStart w:id="7" w:name="_Toc254790852"/>
      <w:bookmarkStart w:id="8" w:name="_Toc227058483"/>
      <w:bookmarkStart w:id="9" w:name="_Toc235437942"/>
      <w:bookmarkStart w:id="10" w:name="_Toc267060022"/>
      <w:bookmarkStart w:id="11" w:name="_Toc177985424"/>
      <w:bookmarkStart w:id="12" w:name="_Toc267060407"/>
      <w:bookmarkStart w:id="13" w:name="_Toc207014580"/>
      <w:bookmarkStart w:id="14" w:name="_Toc266868624"/>
      <w:bookmarkStart w:id="15" w:name="_Toc259520819"/>
      <w:bookmarkStart w:id="16" w:name="_Toc267059519"/>
      <w:bookmarkStart w:id="17" w:name="_Toc236021402"/>
      <w:bookmarkStart w:id="18" w:name="_Toc267059786"/>
      <w:bookmarkStart w:id="19" w:name="_Toc212454753"/>
      <w:bookmarkStart w:id="20" w:name="_Toc255974963"/>
      <w:bookmarkStart w:id="21" w:name="_Toc169332794"/>
      <w:bookmarkStart w:id="22" w:name="_Toc235438297"/>
      <w:bookmarkStart w:id="23" w:name="_Toc212530253"/>
      <w:bookmarkStart w:id="24" w:name="_Toc266870861"/>
      <w:bookmarkStart w:id="25" w:name="_Toc169332904"/>
      <w:bookmarkStart w:id="26" w:name="_Toc223146565"/>
      <w:bookmarkStart w:id="27" w:name="_Toc267060162"/>
      <w:bookmarkStart w:id="28" w:name="_Toc235438227"/>
      <w:bookmarkStart w:id="29" w:name="_Toc253066567"/>
      <w:bookmarkStart w:id="30" w:name="_Toc211937196"/>
      <w:bookmarkStart w:id="31" w:name="_Toc266868924"/>
      <w:bookmarkStart w:id="32" w:name="_Toc212456146"/>
      <w:bookmarkStart w:id="33" w:name="_Toc216241307"/>
      <w:bookmarkStart w:id="34" w:name="_Toc273178686"/>
      <w:bookmarkStart w:id="35" w:name="_Toc267059010"/>
      <w:bookmarkStart w:id="36" w:name="_Toc259692693"/>
      <w:bookmarkStart w:id="37" w:name="_Toc217891359"/>
      <w:bookmarkStart w:id="38" w:name="_Toc225669277"/>
      <w:bookmarkStart w:id="39" w:name="_Toc258401210"/>
      <w:bookmarkStart w:id="40" w:name="_Toc251613780"/>
      <w:bookmarkStart w:id="41" w:name="_Toc267059161"/>
      <w:bookmarkStart w:id="42" w:name="_Toc160880487"/>
      <w:bookmarkStart w:id="43" w:name="_Toc251586187"/>
      <w:bookmarkStart w:id="44" w:name="_Toc267059633"/>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根据需要，对郑州城轨交通中等专业学校高低压配电房供配电维保服务项目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30404</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项目名称：高低压配电房供配电维保服务项目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1项</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说明</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12"/>
        <w:widowControl w:val="0"/>
        <w:numPr>
          <w:ilvl w:val="0"/>
          <w:numId w:val="2"/>
        </w:numPr>
        <w:spacing w:after="0" w:line="460" w:lineRule="exact"/>
        <w:ind w:firstLineChars="0"/>
        <w:rPr>
          <w:rFonts w:ascii="仿宋" w:hAnsi="仿宋" w:eastAsia="仿宋"/>
          <w:sz w:val="24"/>
          <w:szCs w:val="24"/>
          <w:highlight w:val="none"/>
        </w:rPr>
      </w:pPr>
      <w:r>
        <w:rPr>
          <w:rFonts w:hint="eastAsia" w:ascii="仿宋" w:hAnsi="仿宋" w:eastAsia="仿宋"/>
          <w:color w:val="auto"/>
          <w:sz w:val="24"/>
          <w:szCs w:val="24"/>
          <w:highlight w:val="none"/>
        </w:rPr>
        <w:t>参与人应具有独立法人资格</w:t>
      </w:r>
      <w:r>
        <w:rPr>
          <w:rFonts w:hint="eastAsia" w:ascii="仿宋" w:hAnsi="仿宋" w:eastAsia="仿宋"/>
          <w:color w:val="auto"/>
          <w:sz w:val="24"/>
          <w:szCs w:val="24"/>
          <w:highlight w:val="none"/>
          <w:lang w:eastAsia="zh-CN"/>
        </w:rPr>
        <w:t>，</w:t>
      </w:r>
      <w:r>
        <w:rPr>
          <w:rFonts w:hint="eastAsia" w:ascii="仿宋" w:hAnsi="仿宋" w:eastAsia="仿宋"/>
          <w:sz w:val="24"/>
          <w:szCs w:val="24"/>
        </w:rPr>
        <w:t>具有电力工程施工总承包叁级以上（含叁级）资质或输变电工程专业承包叁级以上（含叁级）资质。</w:t>
      </w:r>
    </w:p>
    <w:p>
      <w:pPr>
        <w:pStyle w:val="12"/>
        <w:widowControl w:val="0"/>
        <w:numPr>
          <w:ilvl w:val="0"/>
          <w:numId w:val="2"/>
        </w:numPr>
        <w:spacing w:after="0" w:line="460" w:lineRule="exact"/>
        <w:ind w:firstLineChars="0"/>
        <w:rPr>
          <w:rFonts w:ascii="仿宋" w:hAnsi="仿宋" w:eastAsia="仿宋"/>
          <w:sz w:val="24"/>
          <w:szCs w:val="24"/>
        </w:rPr>
      </w:pPr>
      <w:r>
        <w:rPr>
          <w:rFonts w:hint="eastAsia" w:ascii="仿宋" w:hAnsi="仿宋" w:eastAsia="仿宋"/>
          <w:sz w:val="24"/>
          <w:szCs w:val="24"/>
          <w:highlight w:val="none"/>
        </w:rPr>
        <w:t>参与人应具有合法有效的营业执照</w:t>
      </w:r>
      <w:r>
        <w:rPr>
          <w:rFonts w:hint="eastAsia" w:ascii="仿宋" w:hAnsi="仿宋" w:eastAsia="仿宋"/>
          <w:sz w:val="24"/>
          <w:szCs w:val="24"/>
          <w:highlight w:val="none"/>
          <w:lang w:eastAsia="zh-CN"/>
        </w:rPr>
        <w:t>。</w:t>
      </w:r>
    </w:p>
    <w:p>
      <w:pPr>
        <w:pStyle w:val="12"/>
        <w:widowControl w:val="0"/>
        <w:numPr>
          <w:ilvl w:val="0"/>
          <w:numId w:val="2"/>
        </w:numPr>
        <w:spacing w:after="0" w:line="46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r>
        <w:rPr>
          <w:rFonts w:hint="eastAsia" w:ascii="仿宋" w:hAnsi="仿宋" w:eastAsia="仿宋"/>
          <w:sz w:val="24"/>
          <w:szCs w:val="24"/>
          <w:lang w:eastAsia="zh-CN"/>
        </w:rPr>
        <w:t>在郑州范围内有固定的服务机构，</w:t>
      </w:r>
      <w:r>
        <w:rPr>
          <w:rFonts w:hint="eastAsia" w:ascii="仿宋" w:hAnsi="仿宋" w:eastAsia="仿宋"/>
          <w:sz w:val="24"/>
          <w:szCs w:val="24"/>
        </w:rPr>
        <w:t>具备相应的</w:t>
      </w:r>
      <w:r>
        <w:rPr>
          <w:rFonts w:hint="eastAsia" w:ascii="仿宋" w:hAnsi="仿宋" w:eastAsia="仿宋"/>
          <w:sz w:val="24"/>
          <w:szCs w:val="24"/>
          <w:lang w:eastAsia="zh-CN"/>
        </w:rPr>
        <w:t>应急、</w:t>
      </w:r>
      <w:r>
        <w:rPr>
          <w:rFonts w:hint="eastAsia" w:ascii="仿宋" w:hAnsi="仿宋" w:eastAsia="仿宋"/>
          <w:sz w:val="24"/>
          <w:szCs w:val="24"/>
        </w:rPr>
        <w:t>维护</w:t>
      </w:r>
      <w:r>
        <w:rPr>
          <w:rFonts w:hint="eastAsia" w:ascii="仿宋" w:hAnsi="仿宋" w:eastAsia="仿宋"/>
          <w:sz w:val="24"/>
          <w:szCs w:val="24"/>
          <w:lang w:eastAsia="zh-CN"/>
        </w:rPr>
        <w:t>、协调</w:t>
      </w:r>
      <w:r>
        <w:rPr>
          <w:rFonts w:hint="eastAsia" w:ascii="仿宋" w:hAnsi="仿宋" w:eastAsia="仿宋"/>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2023</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04</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14</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lang w:eastAsia="zh-CN"/>
        </w:rPr>
        <w:t>下</w:t>
      </w:r>
      <w:r>
        <w:rPr>
          <w:rFonts w:hint="eastAsia" w:ascii="仿宋" w:hAnsi="仿宋" w:eastAsia="仿宋"/>
          <w:color w:val="auto"/>
          <w:sz w:val="24"/>
          <w:szCs w:val="24"/>
          <w:shd w:val="clear" w:color="auto" w:fill="FFFFFF"/>
        </w:rPr>
        <w:t>午</w:t>
      </w:r>
      <w:r>
        <w:rPr>
          <w:rFonts w:ascii="仿宋" w:hAnsi="仿宋" w:eastAsia="仿宋"/>
          <w:color w:val="auto"/>
          <w:sz w:val="24"/>
          <w:szCs w:val="24"/>
          <w:shd w:val="clear" w:color="auto" w:fill="FFFFFF"/>
        </w:rPr>
        <w:t>1</w:t>
      </w:r>
      <w:r>
        <w:rPr>
          <w:rFonts w:hint="eastAsia" w:ascii="仿宋" w:hAnsi="仿宋" w:eastAsia="仿宋"/>
          <w:color w:val="auto"/>
          <w:sz w:val="24"/>
          <w:szCs w:val="24"/>
          <w:shd w:val="clear" w:color="auto" w:fill="FFFFFF"/>
          <w:lang w:val="en-US" w:eastAsia="zh-CN"/>
        </w:rPr>
        <w:t>4</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3</w:t>
      </w:r>
      <w:r>
        <w:rPr>
          <w:rFonts w:ascii="仿宋" w:hAnsi="仿宋" w:eastAsia="仿宋"/>
          <w:color w:val="auto"/>
          <w:sz w:val="24"/>
          <w:szCs w:val="24"/>
          <w:shd w:val="clear" w:color="auto" w:fill="FFFFFF"/>
        </w:rPr>
        <w:t>0</w:t>
      </w:r>
      <w:r>
        <w:rPr>
          <w:rFonts w:hint="eastAsia" w:ascii="仿宋" w:hAnsi="仿宋" w:eastAsia="仿宋"/>
          <w:sz w:val="24"/>
          <w:szCs w:val="24"/>
          <w:shd w:val="clear" w:color="auto" w:fill="FFFFFF"/>
        </w:rPr>
        <w:t>前。</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项目联系</w:t>
      </w:r>
      <w:r>
        <w:rPr>
          <w:rFonts w:hint="eastAsia" w:ascii="仿宋" w:hAnsi="仿宋" w:eastAsia="仿宋"/>
          <w:color w:val="auto"/>
          <w:sz w:val="24"/>
          <w:szCs w:val="24"/>
          <w:highlight w:val="none"/>
        </w:rPr>
        <w:t>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0"/>
          <w:numId w:val="0"/>
        </w:numPr>
        <w:spacing w:after="0" w:line="500" w:lineRule="exact"/>
        <w:ind w:left="420" w:leftChars="0"/>
        <w:rPr>
          <w:rFonts w:hint="eastAsia"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r>
        <w:rPr>
          <w:rFonts w:hint="eastAsia" w:ascii="仿宋" w:hAnsi="仿宋" w:eastAsia="仿宋"/>
          <w:color w:val="auto"/>
          <w:sz w:val="24"/>
          <w:szCs w:val="24"/>
          <w:highlight w:val="none"/>
        </w:rPr>
        <w:t>。采购人不对超时提交及未加盖公章的质疑文件进行回复。</w:t>
      </w:r>
    </w:p>
    <w:p>
      <w:pPr>
        <w:widowControl w:val="0"/>
        <w:numPr>
          <w:ilvl w:val="0"/>
          <w:numId w:val="0"/>
        </w:numPr>
        <w:spacing w:after="0" w:line="500" w:lineRule="exact"/>
        <w:ind w:left="420" w:left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 xml:space="preserve">   现场勘探联系人: 周宪民 13838105727</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10"/>
          <w:rFonts w:hint="eastAsia" w:ascii="仿宋" w:hAnsi="仿宋" w:eastAsia="仿宋"/>
          <w:color w:val="auto"/>
          <w:sz w:val="24"/>
          <w:szCs w:val="24"/>
          <w:highlight w:val="none"/>
        </w:rPr>
        <w:t>www.ceghqxz.com</w:t>
      </w:r>
      <w:r>
        <w:rPr>
          <w:rStyle w:val="10"/>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在服务期内服务方案</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应急处理方案</w:t>
      </w:r>
      <w:r>
        <w:rPr>
          <w:rFonts w:hint="eastAsia" w:ascii="仿宋" w:hAnsi="仿宋" w:eastAsia="仿宋"/>
          <w:color w:val="000000"/>
          <w:sz w:val="24"/>
          <w:szCs w:val="24"/>
          <w:lang w:val="en-US" w:eastAsia="zh-CN"/>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12"/>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12"/>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12"/>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12"/>
        <w:spacing w:after="0" w:line="500" w:lineRule="exact"/>
        <w:ind w:left="851" w:firstLine="0" w:firstLineChars="0"/>
        <w:jc w:val="left"/>
        <w:rPr>
          <w:rFonts w:ascii="仿宋" w:hAnsi="仿宋" w:eastAsia="仿宋"/>
          <w:sz w:val="24"/>
          <w:szCs w:val="24"/>
        </w:rPr>
      </w:pPr>
    </w:p>
    <w:p>
      <w:pPr>
        <w:pStyle w:val="12"/>
        <w:spacing w:after="0" w:line="500" w:lineRule="exact"/>
        <w:ind w:left="851" w:firstLine="0" w:firstLineChars="0"/>
        <w:jc w:val="left"/>
        <w:rPr>
          <w:rFonts w:ascii="仿宋" w:hAnsi="仿宋" w:eastAsia="仿宋"/>
          <w:sz w:val="24"/>
          <w:szCs w:val="24"/>
        </w:rPr>
      </w:pPr>
    </w:p>
    <w:p>
      <w:pPr>
        <w:spacing w:after="156" w:afterLines="50" w:line="500" w:lineRule="exact"/>
        <w:jc w:val="center"/>
        <w:rPr>
          <w:rFonts w:hint="eastAsia" w:ascii="Times New Roman" w:hAnsi="Times New Roman" w:eastAsia="仿宋"/>
          <w:b/>
          <w:color w:val="000000"/>
          <w:sz w:val="44"/>
          <w:szCs w:val="44"/>
        </w:rPr>
        <w:sectPr>
          <w:pgSz w:w="11906" w:h="16838"/>
          <w:pgMar w:top="1440" w:right="1416" w:bottom="1440" w:left="1134" w:header="851" w:footer="227" w:gutter="0"/>
          <w:cols w:space="425" w:num="1"/>
          <w:titlePg/>
          <w:docGrid w:type="lines" w:linePitch="312" w:charSpace="0"/>
        </w:sectPr>
      </w:pPr>
      <w:bookmarkStart w:id="321" w:name="_GoBack"/>
      <w:bookmarkEnd w:id="321"/>
    </w:p>
    <w:p>
      <w:pPr>
        <w:spacing w:after="156" w:afterLines="50" w:line="500" w:lineRule="exact"/>
        <w:jc w:val="both"/>
        <w:rPr>
          <w:rFonts w:hint="eastAsia" w:ascii="Times New Roman" w:hAnsi="Times New Roman" w:eastAsia="仿宋"/>
          <w:b/>
          <w:color w:val="000000"/>
          <w:sz w:val="44"/>
          <w:szCs w:val="44"/>
        </w:rPr>
      </w:pPr>
    </w:p>
    <w:p>
      <w:pPr>
        <w:spacing w:after="156" w:afterLines="50" w:line="500" w:lineRule="exact"/>
        <w:jc w:val="center"/>
        <w:rPr>
          <w:rFonts w:ascii="Times New Roman" w:hAnsi="Times New Roman" w:eastAsia="仿宋"/>
          <w:b/>
          <w:color w:val="000000"/>
          <w:sz w:val="44"/>
          <w:szCs w:val="44"/>
        </w:rPr>
      </w:pPr>
      <w:r>
        <w:rPr>
          <w:rFonts w:hint="eastAsia" w:ascii="Times New Roman" w:hAnsi="Times New Roman" w:eastAsia="仿宋"/>
          <w:b/>
          <w:color w:val="000000"/>
          <w:sz w:val="44"/>
          <w:szCs w:val="44"/>
        </w:rPr>
        <w:t>公开询价货物一览表</w:t>
      </w:r>
    </w:p>
    <w:p>
      <w:pPr>
        <w:jc w:val="both"/>
        <w:rPr>
          <w:rFonts w:hint="eastAsia" w:ascii="仿宋" w:hAnsi="仿宋" w:eastAsia="仿宋" w:cs="宋体"/>
          <w:b/>
          <w:bCs/>
          <w:sz w:val="24"/>
          <w:szCs w:val="24"/>
        </w:rPr>
      </w:pPr>
      <w:r>
        <w:rPr>
          <w:rFonts w:hint="eastAsia" w:ascii="仿宋" w:hAnsi="仿宋" w:eastAsia="仿宋" w:cs="宋体"/>
          <w:b/>
          <w:bCs/>
          <w:sz w:val="24"/>
          <w:szCs w:val="24"/>
        </w:rPr>
        <w:t>项目名称：</w:t>
      </w:r>
      <w:r>
        <w:rPr>
          <w:rFonts w:hint="eastAsia" w:ascii="仿宋" w:hAnsi="仿宋" w:eastAsia="仿宋" w:cs="宋体"/>
          <w:b/>
          <w:bCs/>
          <w:sz w:val="24"/>
          <w:szCs w:val="24"/>
          <w:lang w:val="en-US" w:eastAsia="zh-CN"/>
        </w:rPr>
        <w:t>郑州城轨交通中等专业学校</w:t>
      </w:r>
      <w:r>
        <w:rPr>
          <w:rFonts w:hint="eastAsia" w:ascii="仿宋" w:hAnsi="仿宋" w:eastAsia="仿宋" w:cs="宋体"/>
          <w:b/>
          <w:bCs/>
          <w:sz w:val="24"/>
          <w:szCs w:val="24"/>
        </w:rPr>
        <w:t>高低压配电房供配电维保服务项目</w:t>
      </w:r>
    </w:p>
    <w:p>
      <w:pPr>
        <w:spacing w:after="0" w:line="240" w:lineRule="auto"/>
        <w:jc w:val="left"/>
        <w:rPr>
          <w:rFonts w:hint="eastAsia" w:ascii="仿宋" w:hAnsi="仿宋" w:eastAsia="仿宋" w:cs="宋体"/>
          <w:b/>
          <w:bCs/>
          <w:sz w:val="24"/>
          <w:szCs w:val="24"/>
          <w:lang w:val="en-US" w:eastAsia="zh-CN"/>
        </w:rPr>
      </w:pPr>
      <w:r>
        <w:rPr>
          <w:rFonts w:hint="eastAsia" w:ascii="仿宋" w:hAnsi="仿宋" w:eastAsia="仿宋" w:cs="宋体"/>
          <w:b/>
          <w:bCs/>
          <w:sz w:val="24"/>
          <w:szCs w:val="24"/>
        </w:rPr>
        <w:t>项目地点：</w:t>
      </w:r>
      <w:r>
        <w:rPr>
          <w:rFonts w:hint="eastAsia" w:ascii="仿宋" w:hAnsi="仿宋" w:eastAsia="仿宋" w:cs="宋体"/>
          <w:b/>
          <w:bCs/>
          <w:sz w:val="24"/>
          <w:szCs w:val="24"/>
          <w:lang w:val="en-US" w:eastAsia="zh-CN"/>
        </w:rPr>
        <w:t>郑州城轨交通中等专业学校</w:t>
      </w:r>
      <w:r>
        <w:rPr>
          <w:rFonts w:hint="eastAsia" w:ascii="仿宋" w:hAnsi="仿宋" w:eastAsia="仿宋" w:cs="宋体"/>
          <w:b/>
          <w:bCs/>
          <w:sz w:val="24"/>
          <w:szCs w:val="24"/>
        </w:rPr>
        <w:t>校</w:t>
      </w:r>
      <w:r>
        <w:rPr>
          <w:rFonts w:hint="eastAsia" w:ascii="仿宋" w:hAnsi="仿宋" w:eastAsia="仿宋" w:cs="宋体"/>
          <w:b/>
          <w:bCs/>
          <w:sz w:val="24"/>
          <w:szCs w:val="24"/>
          <w:lang w:val="en-US" w:eastAsia="zh-CN"/>
        </w:rPr>
        <w:t>内</w:t>
      </w:r>
    </w:p>
    <w:tbl>
      <w:tblPr>
        <w:tblStyle w:val="8"/>
        <w:tblpPr w:leftFromText="180" w:rightFromText="180" w:vertAnchor="text" w:horzAnchor="margin" w:tblpX="-147" w:tblpY="88"/>
        <w:tblW w:w="93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1457"/>
        <w:gridCol w:w="1167"/>
        <w:gridCol w:w="783"/>
        <w:gridCol w:w="833"/>
        <w:gridCol w:w="850"/>
        <w:gridCol w:w="1386"/>
        <w:gridCol w:w="20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序号</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项目</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规格</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单位</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数量</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单价（元）</w:t>
            </w: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小计（元/年）</w:t>
            </w: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高压柜</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26</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 xml:space="preserve"> </w:t>
            </w:r>
            <w:r>
              <w:rPr>
                <w:rFonts w:hint="eastAsia" w:ascii="仿宋" w:hAnsi="仿宋" w:eastAsia="仿宋" w:cs="宋体"/>
                <w:color w:val="000000"/>
              </w:rPr>
              <w:t>北</w:t>
            </w:r>
            <w:r>
              <w:rPr>
                <w:rFonts w:hint="eastAsia" w:ascii="仿宋" w:hAnsi="仿宋" w:eastAsia="仿宋" w:cs="宋体"/>
                <w:color w:val="000000"/>
                <w:lang w:val="en-US" w:eastAsia="zh-CN"/>
              </w:rPr>
              <w:t>区17</w:t>
            </w:r>
            <w:r>
              <w:rPr>
                <w:rFonts w:hint="eastAsia" w:ascii="仿宋" w:hAnsi="仿宋" w:eastAsia="仿宋" w:cs="宋体"/>
                <w:color w:val="000000"/>
              </w:rPr>
              <w:t>台、</w:t>
            </w:r>
            <w:r>
              <w:rPr>
                <w:rFonts w:hint="eastAsia" w:ascii="仿宋" w:hAnsi="仿宋" w:eastAsia="仿宋" w:cs="宋体"/>
                <w:color w:val="000000"/>
                <w:lang w:val="en-US" w:eastAsia="zh-CN"/>
              </w:rPr>
              <w:t>南区9</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2</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直流屏</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套</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1</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北区1套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3</w:t>
            </w:r>
          </w:p>
        </w:tc>
        <w:tc>
          <w:tcPr>
            <w:tcW w:w="1457"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变压器</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8</w:t>
            </w:r>
            <w:r>
              <w:rPr>
                <w:rFonts w:ascii="仿宋" w:hAnsi="仿宋" w:eastAsia="仿宋" w:cs="宋体"/>
                <w:color w:val="000000"/>
              </w:rPr>
              <w:t>00KVA</w:t>
            </w:r>
          </w:p>
        </w:tc>
        <w:tc>
          <w:tcPr>
            <w:tcW w:w="783"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3</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北区3</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45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000KVA</w:t>
            </w:r>
          </w:p>
        </w:tc>
        <w:tc>
          <w:tcPr>
            <w:tcW w:w="783"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2</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南区</w:t>
            </w:r>
            <w:r>
              <w:rPr>
                <w:rFonts w:hint="eastAsia" w:ascii="仿宋" w:hAnsi="仿宋" w:eastAsia="仿宋" w:cs="宋体"/>
                <w:color w:val="000000"/>
              </w:rPr>
              <w:t>2台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45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250KVA</w:t>
            </w:r>
          </w:p>
        </w:tc>
        <w:tc>
          <w:tcPr>
            <w:tcW w:w="783"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2</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南北区各1</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4</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rPr>
              <w:t>电力电缆</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ascii="仿宋" w:hAnsi="仿宋" w:eastAsia="仿宋" w:cs="宋体"/>
                <w:color w:val="000000"/>
              </w:rPr>
              <w:t>10KV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rPr>
              <w:t>根</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11</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 xml:space="preserve"> </w:t>
            </w:r>
            <w:r>
              <w:rPr>
                <w:rFonts w:hint="eastAsia" w:ascii="仿宋" w:hAnsi="仿宋" w:eastAsia="仿宋" w:cs="宋体"/>
                <w:color w:val="000000"/>
              </w:rPr>
              <w:t>北</w:t>
            </w:r>
            <w:r>
              <w:rPr>
                <w:rFonts w:hint="eastAsia" w:ascii="仿宋" w:hAnsi="仿宋" w:eastAsia="仿宋" w:cs="宋体"/>
                <w:color w:val="000000"/>
                <w:lang w:val="en-US" w:eastAsia="zh-CN"/>
              </w:rPr>
              <w:t>区6</w:t>
            </w:r>
            <w:r>
              <w:rPr>
                <w:rFonts w:hint="eastAsia" w:ascii="仿宋" w:hAnsi="仿宋" w:eastAsia="仿宋" w:cs="宋体"/>
                <w:color w:val="000000"/>
              </w:rPr>
              <w:t>根、</w:t>
            </w:r>
            <w:r>
              <w:rPr>
                <w:rFonts w:hint="eastAsia" w:ascii="仿宋" w:hAnsi="仿宋" w:eastAsia="仿宋" w:cs="宋体"/>
                <w:color w:val="000000"/>
                <w:lang w:val="en-US" w:eastAsia="zh-CN"/>
              </w:rPr>
              <w:t>南区5</w:t>
            </w:r>
            <w:r>
              <w:rPr>
                <w:rFonts w:hint="eastAsia" w:ascii="仿宋" w:hAnsi="仿宋" w:eastAsia="仿宋" w:cs="宋体"/>
                <w:color w:val="000000"/>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5</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rPr>
              <w:t>低压柜（含电容柜）</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34</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北区22</w:t>
            </w:r>
            <w:r>
              <w:rPr>
                <w:rFonts w:hint="eastAsia" w:ascii="仿宋" w:hAnsi="仿宋" w:eastAsia="仿宋" w:cs="宋体"/>
                <w:color w:val="000000"/>
              </w:rPr>
              <w:t>台、</w:t>
            </w:r>
            <w:r>
              <w:rPr>
                <w:rFonts w:hint="eastAsia" w:ascii="仿宋" w:hAnsi="仿宋" w:eastAsia="仿宋" w:cs="宋体"/>
                <w:color w:val="000000"/>
                <w:lang w:val="en-US" w:eastAsia="zh-CN"/>
              </w:rPr>
              <w:t>南区12</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6</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lang w:eastAsia="zh-CN"/>
              </w:rPr>
              <w:t xml:space="preserve"> </w:t>
            </w:r>
            <w:r>
              <w:rPr>
                <w:rFonts w:hint="eastAsia" w:ascii="仿宋" w:hAnsi="仿宋" w:eastAsia="仿宋" w:cs="宋体"/>
                <w:color w:val="000000"/>
                <w:lang w:val="en-US" w:eastAsia="zh-CN"/>
              </w:rPr>
              <w:t>箱式变压器</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套</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3</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北区2台、南区1台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7</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税金</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386"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5027" w:type="dxa"/>
            <w:gridSpan w:val="5"/>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合计</w:t>
            </w:r>
          </w:p>
        </w:tc>
        <w:tc>
          <w:tcPr>
            <w:tcW w:w="2236" w:type="dxa"/>
            <w:gridSpan w:val="2"/>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048"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r>
    </w:tbl>
    <w:p>
      <w:pPr>
        <w:pStyle w:val="12"/>
        <w:spacing w:after="0" w:line="500" w:lineRule="exact"/>
        <w:jc w:val="both"/>
        <w:rPr>
          <w:rFonts w:hint="eastAsia" w:ascii="仿宋" w:hAnsi="仿宋" w:eastAsia="仿宋"/>
          <w:b/>
          <w:sz w:val="44"/>
          <w:szCs w:val="44"/>
          <w:lang w:eastAsia="zh-CN"/>
        </w:rPr>
      </w:pPr>
    </w:p>
    <w:bookmarkEnd w:id="45"/>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仿宋" w:hAnsi="仿宋" w:eastAsia="仿宋" w:cs="宋体"/>
          <w:b/>
          <w:bCs/>
          <w:sz w:val="24"/>
          <w:szCs w:val="24"/>
          <w:lang w:val="en-US" w:eastAsia="zh-CN"/>
        </w:rPr>
      </w:pPr>
      <w:r>
        <w:rPr>
          <w:rFonts w:hint="eastAsia" w:ascii="仿宋" w:hAnsi="仿宋" w:eastAsia="仿宋" w:cs="宋体"/>
          <w:b/>
          <w:bCs/>
          <w:sz w:val="24"/>
          <w:szCs w:val="24"/>
          <w:lang w:val="en-US" w:eastAsia="zh-CN"/>
        </w:rPr>
        <w:t>高低压配电房维保服务内容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rPr>
      </w:pPr>
      <w:r>
        <w:rPr>
          <w:rFonts w:hint="eastAsia" w:ascii="仿宋" w:hAnsi="仿宋" w:eastAsia="仿宋" w:cs="宋体"/>
          <w:b/>
          <w:bCs/>
          <w:sz w:val="24"/>
          <w:szCs w:val="24"/>
          <w:lang w:val="en-US" w:eastAsia="zh-CN"/>
        </w:rPr>
        <w:t>一、设施、设备维保服务地点和范围</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rPr>
      </w:pPr>
      <w:r>
        <w:rPr>
          <w:rFonts w:hint="eastAsia" w:ascii="仿宋" w:hAnsi="仿宋" w:eastAsia="仿宋" w:cs="宋体"/>
          <w:b/>
          <w:bCs/>
          <w:sz w:val="24"/>
          <w:szCs w:val="24"/>
          <w:lang w:val="en-US" w:eastAsia="zh-CN"/>
        </w:rPr>
        <w:t>1.1地点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郑州城轨交通中等专业学校校内</w:t>
      </w:r>
    </w:p>
    <w:p>
      <w:pPr>
        <w:pStyle w:val="12"/>
        <w:keepNext w:val="0"/>
        <w:keepLines w:val="0"/>
        <w:pageBreakBefore w:val="0"/>
        <w:widowControl/>
        <w:kinsoku/>
        <w:wordWrap/>
        <w:overflowPunct/>
        <w:topLinePunct w:val="0"/>
        <w:autoSpaceDE/>
        <w:autoSpaceDN/>
        <w:bidi w:val="0"/>
        <w:adjustRightInd/>
        <w:snapToGrid/>
        <w:spacing w:after="0" w:line="240" w:lineRule="auto"/>
        <w:ind w:left="0" w:leftChars="0" w:firstLine="0" w:firstLineChars="0"/>
        <w:textAlignment w:val="auto"/>
        <w:rPr>
          <w:rFonts w:hint="default"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1.2 维保服务期限</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维保服务期限：12个月。</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二、维保服务内容及要求</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 服务内容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甲乙双方约定，由乙方对配电房的安全、正常运行负责，主要服务内容包括配电房设备提供日常的维护、检修、保养和应急抢修；包括高压柜、真空断路器、避雷器、变压器、两段高低压母线及系统其它相关设备检测、检修、保养维护、接地检测、安全工器具检测、设备运行安全维护等工作。依照《电气设备预防性试验规程》（DL/T596-1996）及其他相关规定，对配电房电气设备进行预防性试验，完成年度保养项目，并做好维护保养记录，并向使用单位出具预防性试验报告、维保服务报告。对具有预见性易损坏配件及故障损坏部件的及时更换；配电房设备故障或事故的应急处置；配电房年度检验、维护、优化等相关工作。</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2.1.1 高压配电柜</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 xml:space="preserve">1.每月一次对电气设备进行检查： </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（1）检查母线接头处有无变形，有无放电变黑痕迹，紧固连接螺栓，螺栓若有生锈应予以更换，确保接头连接紧密；检查母线上绝缘子有无松动和损坏。</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（2）柜内的机械闭锁，电气闭锁应动作准确、可靠，开关小车推拉应灵活，无卡阻现象。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（3）柜体的接地应牢固良好，装有电器的可开启的门，应以裸铜软线与接地金属构件可靠地连接。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（4）柜体的正面各电器、端子排等应标明编号、名称、用途及操作位置，其标明的字迹应清晰、工整、不易脱落。</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（5）柜内二次回路的连接件均应采用铜质制品牢固紧接，绝缘体采用自熄性阻燃材料，并应清洁干燥。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（6）柜上装有继电保护装置设备或其它有接地要求的电器，其外壳应可靠接地。</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2.每季度一次对电气设备进行检查：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（1）高压柜必须清理干净，漆层完好，各构件间连接应牢固，接头温度应在允许范围。</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（2）柜体的接地应牢固良好，装有电器的可开启的门，应以裸铜软线与接地金属构件可靠地连接。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（3）柜体的正面各电器、端子排等应标明编号、名称、用途及操作位置，其标明的字迹应清晰、工整、不易脱落。</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（4）柜内二次回路的连接件均应铜质制品牢固紧接，绝缘件采用自熄性阻燃材料，并应清洁干燥。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（5）柜上装有继电保护装置设备或其它有接地要求的电器，其外壳应可靠接地。</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（6）重要开关断路器定期检测保护是否可靠动作是否灵敏。</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（7）后台远控定期测试是否数据正确。</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3.每年一次按预防性试验规程对高压柜进行预防性试验，将预防性试验报告交甲方存档，具体工作内容：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（1）重复每季度的检查内容。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（2）开关及一次电气设备必须作绝缘试验和耐压试验。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（3）柜内的互感器作变比检查和测量绝缘电阻。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（4）测量开关的分、合闸线圈直流电阻，开关接触电阻，动作电压和返回电压以及分闸时间。</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（5）校核继电保护装置的动作值、返回值、整定值。</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2.1.2 直流屏（蓄电池）</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1.每月的工作内容：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（1）对蓄电池进行恢复性的充放电。</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（2）巡看蓄电池的液面是否符合要求，有无漏液发生。</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2.每季度的工作内容：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（1）清除屏内充电机及设备上的灰尘和蓄电池槽表面污垢，连接件上的氧化物。</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（2）对充电机、输出回路进行绝缘测试以及各种特性测试。</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3.每年的工作内容：重复每季度的工作内容。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2.1.3 变压器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1.每月一次对变压器进行检查：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（1）变压器套管是否清洁，有无破损、裂纹和放电痕迹。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（2）变压器零部件必须无损伤或移位，接线是否松动、断裂、绝缘件和线圈是否有破损，是否有脏物或异物等。</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（3）检查风机、空调、温控设备等能否正常运行。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（4）变压器的主附设备的外壳接地是否良好。</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2.每季度一次对变压器进行检查：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（1）重复每月检查的内容；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（2）高低压电缆头的接触情况，螺丝有无松动，接头是否过热。</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（3）检查所有的紧固件、连接件、标准件是否松动，并重新紧固一次。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（4）检查变压器的箱体和铁芯是否可靠接地，穿心螺杆的绝缘是否良好。</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（5）套管密封、顶部连接片、密封衬垫的检查，瓷绝缘等的检查和清扫。</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（6）各种保护装置、测量装置及操作控制箱的检修、试验。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3.每年一次进行年检：</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（1）重复每季度一次检查的内容。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（2）进行一次下列预防性试验。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①测量变压器绕组直流电阻，测量前绕组应充分放电。</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②测量变压器绕组的绝缘电阻，采用1000V兆欧表进行测量。</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③进行变压器绕组的交流耐压试验。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④在额定电压下对变压器进行冲击合闸试验。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⑤按标准要求完成避雷器相应测试。</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⑥对变压器柜体及柜内相关设施清洁保养、接头紧固等保养。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2.1.4 低压配电柜</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1.每月一次对电气设备进行检查：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（1）观察母排的发热程度，示温蜡片有否熔化，各连接螺丝有否松动。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（2）测量电容柜的温度，检查容器的外观有无变形，熔断器有无熔断，运行时应无任何声音。</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（3）低压柜的机械闭锁、电气闭锁应动作准确、可靠。</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（4）配电柜抽屉推拉应灵活、无卡阻现象。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2.每季度一次对电气设备进行清理、检查：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（1）低压柜内设备与各构件间连接应牢固，接头温度应在允许范围。</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（2）低压柜的机械闭锁、电气闭锁应动作准确、可靠。</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（3）配电柜抽屉推拉应灵活、无卡阻现象。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（4）柜的固定及接地可靠，漆层应完好、清洁整齐。</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3.每年一次年检内容：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（1）重复每季度的清理检查。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（2）按预防性试验规程对设备进行预防性试验，并将预防性试验报告交业主存档。</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（3）进行一次低压柜清洁、保养。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①低压柜每段母线绝缘电阻不应小于0.5MΩ，电力线路绝缘电阻不小于0.5MΩ，试验采用500V兆欧表。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②加1000V进行交流耐压试验。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③校核仪表、继电器的动作值和返回值。</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宋体"/>
          <w:b/>
          <w:bCs/>
          <w:sz w:val="24"/>
          <w:szCs w:val="24"/>
          <w:lang w:val="en-US" w:eastAsia="zh-CN" w:bidi="ar-SA"/>
        </w:rPr>
      </w:pPr>
      <w:r>
        <w:rPr>
          <w:rFonts w:hint="eastAsia" w:ascii="仿宋" w:hAnsi="仿宋" w:eastAsia="仿宋" w:cs="宋体"/>
          <w:b/>
          <w:bCs/>
          <w:sz w:val="24"/>
          <w:szCs w:val="24"/>
          <w:lang w:val="en-US" w:eastAsia="zh-CN" w:bidi="ar-SA"/>
        </w:rPr>
        <w:t>2.1.5 10kV高压电缆保养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1.高压电缆的清尘：检查电缆终端头有无松动、发热变色及受损现象。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2.用无水酒精清洗电缆头；检查电缆外层有无破损现象。</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3.检查电缆头有无放电痕迹。</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4检查电缆头三相有无交叉排列。</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5.电缆头密封检查。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6.电缆头与设备接触是否良好。</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7.电缆绝缘电阻测量。</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8.电缆直流耐压及泄漏电流试验。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9.电缆铠装接地线的检查。</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10.做好检修保养记录。</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2</w:t>
      </w:r>
      <w:r>
        <w:rPr>
          <w:rFonts w:hint="eastAsia" w:ascii="仿宋" w:hAnsi="仿宋" w:eastAsia="仿宋" w:cs="宋体"/>
          <w:b/>
          <w:bCs/>
          <w:sz w:val="24"/>
          <w:szCs w:val="24"/>
          <w:lang w:val="en-US" w:eastAsia="zh-CN" w:bidi="ar-SA"/>
        </w:rPr>
        <w:t>.1.6 接地</w:t>
      </w:r>
      <w:r>
        <w:rPr>
          <w:rFonts w:hint="eastAsia" w:ascii="仿宋" w:hAnsi="仿宋" w:eastAsia="仿宋" w:cstheme="minorBidi"/>
          <w:b/>
          <w:bCs/>
          <w:sz w:val="24"/>
          <w:szCs w:val="24"/>
          <w:lang w:val="en-US" w:eastAsia="zh-CN" w:bidi="ar-SA"/>
        </w:rPr>
        <w:t>系统</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1.每月及每季度检查地网有无脱漆、锈蚀、设备各接地处、导体搭接处是否牢固。</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2.每年进行接地系统的接地电阻测量。</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2.1.7 其他</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1.检查及维护配电房照明和防潮灯及通风机，确保正常使用。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2.检查及维护配电房屋面有否漏水，电缆沟是否积水，门窗有否破损，确保正常使用。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3.检查及维护防鼠挡板是否完整，房内孔洞有否堵死，确保正常使用。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4.检查及维护配电房门外通道是否畅顺，有否被堵现象，确保正常使用。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2.2维保要求</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为保障配电房的安全运行及对设备运行情况，及时了解、消除故障隐患、促进安全生产，必需对高/低压柜、直流屏、变压器、接地系统等设备和装置进行每月巡查、每季度进行检查、每学期假期对变压器、低压配电柜清理及检查、每年进行年检，具体内容如下：</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1.乙方月检、季检、年检等计划均需提前一个月报停电维保计划，并安排在周末或甲方方便停电的节假日或假期。</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2.故障抢修为在合同期间的设备事故或设备不正常运行时必要的紧急情况处理。</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3.迎峰度夏系统全面检测维护是指夏天用电高峰来临前，预先对配电设备提前预防性测试、保养。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4.春节前系统全面检测维护是指年底对配电设备提前预防性测试、维护、保养，确保重大节假日及次年安全运行。</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5.乙方在做检修维护保养前安排准备工程技术人员、仪器仪表、机具设备。</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6.所需更换配件均由乙方及时提供配件或者设备需用计划、报价及采购方案，乙方审核确认数量及价格后，由甲方定夺是否由乙方采购，在得到甲方的书面批示后应积极安排采购更换。</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7.检修时间由甲方根据情况分期、分段进行，合理安排。</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8.总的原则是对于出现的应急故障或者平时例行维修，都需及时提前与甲方管理处沟通，避免沟通不及时造成用户投诉。</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2.3维保单位责任</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1、乙方每次检测完成后应向甲方提供完整有效的预防性试验报告。</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2、为保证维保工作的正常运行，乙方应长期备有用于系统维保所需的备品备件及周转设备。</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3、接到甲方配电房故障通知后，乙方应迅速组织维护人员确保在最短时间内对配电设施进行排除、维保。乙方全年安排技术人员24小时待命，并确定24小时维保热线，在接到甲方保障通知后，应在30分钟内响应，1小时内到达现场进行分析、处理，若无故不能准时达到，每次扣罚200元人民币。乙方若未能在规定的时间内赶到现场达到三次的将自动解除合同，视同为乙方违约并赔付甲方的损失。</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4、重大节日（五一、十一、元旦、春节）放假前必须进行检查、维护和保养，保证所维保配电房处于正常状态。</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5、乙方在维保中出现的问题，经甲方三次指出后，乙方若不能解决、排除，甲方有权聘请第三方修理，其费用由乙方负责。</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6、乙方必须开具合法、有效的增值税普通发票，发票内容为维保服务类相关费用。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7、维保结束后乙方负责与下一任维保单位的交接工作。</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8、乙方在维保过程中发生的各种安全事故（包括第三方的人员和设施事故），其后果完全由乙方负责。</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9、每月按合同条款约定内容进行检查，出具书面维保报告和记录，检查记录由总务处签字确认后，及时将维保、整改意见或方案书面给甲方。乙方每年向甲方提交一份经总务处签字后的书面报告，若不能按要求出具书面报告，一次扣罚500元人民币。</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10、乙方在维保过程中对甲方设备有故意损害现象的应照价赔偿或及时修复。</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备注：</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参与人所投商品需要提供品牌、规格型号等真实详细信息，禁止复制采购人所提供的参考参数。</w:t>
      </w:r>
    </w:p>
    <w:p>
      <w:pPr>
        <w:keepNext w:val="0"/>
        <w:keepLines w:val="0"/>
        <w:pageBreakBefore w:val="0"/>
        <w:widowControl/>
        <w:kinsoku/>
        <w:wordWrap/>
        <w:overflowPunct/>
        <w:topLinePunct w:val="0"/>
        <w:autoSpaceDE/>
        <w:autoSpaceDN/>
        <w:bidi w:val="0"/>
        <w:adjustRightInd/>
        <w:snapToGrid/>
        <w:spacing w:after="0" w:line="240" w:lineRule="auto"/>
        <w:jc w:val="both"/>
        <w:textAlignment w:val="auto"/>
        <w:rPr>
          <w:rFonts w:hint="eastAsia" w:ascii="仿宋" w:hAnsi="仿宋" w:eastAsia="仿宋" w:cstheme="minorBidi"/>
          <w:sz w:val="24"/>
          <w:szCs w:val="24"/>
          <w:lang w:val="en-US" w:eastAsia="zh-CN" w:bidi="ar-SA"/>
        </w:rPr>
        <w:sectPr>
          <w:headerReference r:id="rId6" w:type="first"/>
          <w:headerReference r:id="rId5" w:type="default"/>
          <w:pgSz w:w="11906" w:h="16838"/>
          <w:pgMar w:top="1440" w:right="1418" w:bottom="1440" w:left="1417" w:header="567" w:footer="227" w:gutter="0"/>
          <w:cols w:space="425" w:num="1"/>
          <w:titlePg/>
          <w:docGrid w:type="lines" w:linePitch="312" w:charSpace="0"/>
        </w:sectPr>
      </w:pPr>
      <w:r>
        <w:rPr>
          <w:rFonts w:hint="eastAsia" w:ascii="仿宋" w:hAnsi="仿宋" w:eastAsia="仿宋" w:cstheme="minorBidi"/>
          <w:sz w:val="24"/>
          <w:szCs w:val="24"/>
          <w:lang w:val="en-US" w:eastAsia="zh-CN" w:bidi="ar-SA"/>
        </w:rPr>
        <w:t>参与人所投商品报价应包含税费、运输费、搬运费、整体实施、安装调试费、售后服务等一切费用。</w:t>
      </w:r>
    </w:p>
    <w:p>
      <w:pPr>
        <w:spacing w:line="1000" w:lineRule="exact"/>
        <w:jc w:val="both"/>
        <w:rPr>
          <w:rFonts w:hint="eastAsia" w:ascii="仿宋" w:hAnsi="仿宋" w:eastAsia="仿宋"/>
          <w:b/>
          <w:sz w:val="72"/>
          <w:szCs w:val="72"/>
          <w:lang w:val="en-US" w:eastAsia="zh-CN"/>
        </w:rPr>
      </w:pPr>
    </w:p>
    <w:p>
      <w:pPr>
        <w:spacing w:line="1000" w:lineRule="exact"/>
        <w:jc w:val="both"/>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hint="eastAsia" w:ascii="仿宋" w:hAnsi="仿宋" w:eastAsia="仿宋"/>
          <w:b/>
          <w:sz w:val="44"/>
          <w:szCs w:val="44"/>
          <w:lang w:eastAsia="zh-CN"/>
        </w:rPr>
      </w:pPr>
      <w:r>
        <w:rPr>
          <w:rFonts w:hint="eastAsia" w:ascii="仿宋" w:hAnsi="仿宋" w:eastAsia="仿宋"/>
          <w:b/>
          <w:sz w:val="44"/>
          <w:szCs w:val="44"/>
        </w:rPr>
        <w:t>关于</w:t>
      </w:r>
      <w:r>
        <w:rPr>
          <w:rFonts w:hint="eastAsia" w:ascii="仿宋" w:hAnsi="仿宋" w:eastAsia="仿宋"/>
          <w:b/>
          <w:sz w:val="44"/>
          <w:szCs w:val="44"/>
          <w:lang w:eastAsia="zh-CN"/>
        </w:rPr>
        <w:t>高低压配电房</w:t>
      </w:r>
    </w:p>
    <w:p>
      <w:pPr>
        <w:spacing w:line="1000" w:lineRule="exact"/>
        <w:jc w:val="center"/>
        <w:rPr>
          <w:rFonts w:ascii="仿宋" w:hAnsi="仿宋" w:eastAsia="仿宋"/>
          <w:b/>
          <w:sz w:val="44"/>
          <w:szCs w:val="44"/>
        </w:rPr>
      </w:pPr>
      <w:r>
        <w:rPr>
          <w:rFonts w:hint="eastAsia" w:ascii="仿宋" w:hAnsi="仿宋" w:eastAsia="仿宋"/>
          <w:b/>
          <w:sz w:val="44"/>
          <w:szCs w:val="44"/>
          <w:lang w:eastAsia="zh-CN"/>
        </w:rPr>
        <w:t>供配电维保服务项目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bCs/>
          <w:sz w:val="30"/>
          <w:szCs w:val="30"/>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both"/>
        <w:rPr>
          <w:rFonts w:ascii="仿宋" w:hAnsi="仿宋" w:eastAsia="仿宋"/>
          <w:b/>
          <w:bCs/>
          <w:sz w:val="30"/>
          <w:szCs w:val="30"/>
        </w:rPr>
      </w:pPr>
    </w:p>
    <w:p>
      <w:pPr>
        <w:jc w:val="center"/>
        <w:rPr>
          <w:rFonts w:ascii="仿宋" w:hAnsi="仿宋" w:eastAsia="仿宋"/>
          <w:b/>
          <w:bCs/>
          <w:sz w:val="30"/>
          <w:szCs w:val="30"/>
        </w:rPr>
        <w:sectPr>
          <w:headerReference r:id="rId8" w:type="first"/>
          <w:headerReference r:id="rId7" w:type="default"/>
          <w:pgSz w:w="11906" w:h="16838"/>
          <w:pgMar w:top="1440" w:right="1417" w:bottom="1440" w:left="1134" w:header="851" w:footer="227" w:gutter="0"/>
          <w:cols w:space="0" w:num="1"/>
          <w:titlePg/>
          <w:rtlGutter w:val="0"/>
          <w:docGrid w:type="lines" w:linePitch="32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267059030"/>
      <w:bookmarkStart w:id="48" w:name="_Toc259520865"/>
      <w:bookmarkStart w:id="49" w:name="_Toc169332949"/>
      <w:bookmarkStart w:id="50" w:name="_Toc267060208"/>
      <w:bookmarkStart w:id="51" w:name="_Toc169332838"/>
      <w:bookmarkStart w:id="52" w:name="_Toc160880529"/>
      <w:bookmarkStart w:id="53" w:name="_Toc193165734"/>
      <w:bookmarkStart w:id="54" w:name="_Toc223146608"/>
      <w:bookmarkStart w:id="55" w:name="_Toc203355733"/>
      <w:bookmarkStart w:id="56" w:name="_Toc191789329"/>
      <w:bookmarkStart w:id="57" w:name="_Toc253066614"/>
      <w:bookmarkStart w:id="58" w:name="_Toc219800243"/>
      <w:bookmarkStart w:id="59" w:name="_Toc213756051"/>
      <w:bookmarkStart w:id="60" w:name="_Toc213755939"/>
      <w:bookmarkStart w:id="61" w:name="_Toc266870432"/>
      <w:bookmarkStart w:id="62" w:name="_Toc273178698"/>
      <w:bookmarkStart w:id="63" w:name="_Toc192663835"/>
      <w:bookmarkStart w:id="64" w:name="_Toc191803626"/>
      <w:bookmarkStart w:id="65" w:name="_Toc230071147"/>
      <w:bookmarkStart w:id="66" w:name="_Toc267060068"/>
      <w:bookmarkStart w:id="67" w:name="_Toc251586231"/>
      <w:bookmarkStart w:id="68" w:name="_Toc182372782"/>
      <w:bookmarkStart w:id="69" w:name="_Toc180302913"/>
      <w:bookmarkStart w:id="70" w:name="_Toc267059806"/>
      <w:bookmarkStart w:id="71" w:name="_Toc193160448"/>
      <w:bookmarkStart w:id="72" w:name="_Toc267059181"/>
      <w:bookmarkStart w:id="73" w:name="_Toc267059653"/>
      <w:bookmarkStart w:id="74" w:name="_Toc254790899"/>
      <w:bookmarkStart w:id="75" w:name="_Toc192996338"/>
      <w:bookmarkStart w:id="76" w:name="_Toc235438274"/>
      <w:bookmarkStart w:id="77" w:name="_Toc258401256"/>
      <w:bookmarkStart w:id="78" w:name="_Toc192664153"/>
      <w:bookmarkStart w:id="79" w:name="_Toc217891402"/>
      <w:bookmarkStart w:id="80" w:name="_Toc213755858"/>
      <w:bookmarkStart w:id="81" w:name="_Toc235438344"/>
      <w:bookmarkStart w:id="82" w:name="_Toc249325711"/>
      <w:bookmarkStart w:id="83" w:name="_Toc267060321"/>
      <w:bookmarkStart w:id="84" w:name="_Toc255975007"/>
      <w:bookmarkStart w:id="85" w:name="_Toc225669322"/>
      <w:bookmarkStart w:id="86" w:name="_Toc177985469"/>
      <w:bookmarkStart w:id="87" w:name="_Toc182805217"/>
      <w:bookmarkStart w:id="88" w:name="_Toc251613829"/>
      <w:bookmarkStart w:id="89" w:name="_Toc213208766"/>
      <w:bookmarkStart w:id="90" w:name="_Toc236021449"/>
      <w:bookmarkStart w:id="91" w:name="_Toc259692740"/>
      <w:bookmarkStart w:id="92" w:name="_Toc267059919"/>
      <w:bookmarkStart w:id="93" w:name="_Toc235437991"/>
      <w:bookmarkStart w:id="94" w:name="_Toc192663686"/>
      <w:bookmarkStart w:id="95" w:name="_Toc213755995"/>
      <w:bookmarkStart w:id="96" w:name="_Toc266870833"/>
      <w:bookmarkStart w:id="97" w:name="_Toc259692647"/>
      <w:bookmarkStart w:id="98" w:name="_Toc160880160"/>
      <w:bookmarkStart w:id="99" w:name="_Toc227058530"/>
      <w:bookmarkStart w:id="100" w:name="_Toc191783222"/>
      <w:bookmarkStart w:id="101" w:name="_Toc192996446"/>
      <w:bookmarkStart w:id="102" w:name="_Toc232302115"/>
      <w:bookmarkStart w:id="103" w:name="_Toc266868670"/>
      <w:bookmarkStart w:id="104" w:name="_Toc267060453"/>
      <w:bookmarkStart w:id="105" w:name="_Toc170798793"/>
      <w:bookmarkStart w:id="106" w:name="_Toc267059539"/>
      <w:bookmarkStart w:id="107" w:name="_Toc266868937"/>
      <w:bookmarkStart w:id="108" w:name="_Toc181436461"/>
      <w:bookmarkStart w:id="109" w:name="_Toc211917116"/>
      <w:bookmarkStart w:id="110" w:name="_Toc181436565"/>
      <w:bookmarkStart w:id="111" w:name="_Toc191802690"/>
      <w:bookmarkStart w:id="112" w:name="_Toc266870907"/>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u w:val="none"/>
          <w:lang w:val="en-US" w:eastAsia="zh-CN"/>
        </w:rPr>
        <w:t>/年</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auto"/>
          <w:sz w:val="24"/>
          <w:szCs w:val="24"/>
          <w:lang w:eastAsia="zh-CN"/>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r>
        <w:rPr>
          <w:rFonts w:hint="eastAsia" w:ascii="仿宋" w:hAnsi="仿宋" w:eastAsia="仿宋"/>
          <w:color w:val="auto"/>
          <w:sz w:val="24"/>
          <w:szCs w:val="24"/>
          <w:lang w:eastAsia="zh-CN"/>
        </w:rPr>
        <w:t>。</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13"/>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tbl>
      <w:tblPr>
        <w:tblStyle w:val="8"/>
        <w:tblpPr w:leftFromText="180" w:rightFromText="180" w:vertAnchor="text" w:horzAnchor="margin" w:tblpX="-147" w:tblpY="88"/>
        <w:tblW w:w="93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1457"/>
        <w:gridCol w:w="1167"/>
        <w:gridCol w:w="783"/>
        <w:gridCol w:w="833"/>
        <w:gridCol w:w="850"/>
        <w:gridCol w:w="1034"/>
        <w:gridCol w:w="24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序号</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项目</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规格</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单位</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数量</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单价（元）</w:t>
            </w: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小计（元/年）</w:t>
            </w: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b/>
                <w:bCs/>
                <w:color w:val="000000"/>
              </w:rPr>
            </w:pPr>
            <w:r>
              <w:rPr>
                <w:rFonts w:hint="eastAsia" w:ascii="仿宋" w:hAnsi="仿宋" w:eastAsia="仿宋" w:cs="宋体"/>
                <w:b/>
                <w:bCs/>
                <w:color w:val="00000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高压柜</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26</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 xml:space="preserve"> </w:t>
            </w:r>
            <w:r>
              <w:rPr>
                <w:rFonts w:hint="eastAsia" w:ascii="仿宋" w:hAnsi="仿宋" w:eastAsia="仿宋" w:cs="宋体"/>
                <w:color w:val="000000"/>
              </w:rPr>
              <w:t>北</w:t>
            </w:r>
            <w:r>
              <w:rPr>
                <w:rFonts w:hint="eastAsia" w:ascii="仿宋" w:hAnsi="仿宋" w:eastAsia="仿宋" w:cs="宋体"/>
                <w:color w:val="000000"/>
                <w:lang w:val="en-US" w:eastAsia="zh-CN"/>
              </w:rPr>
              <w:t>区17</w:t>
            </w:r>
            <w:r>
              <w:rPr>
                <w:rFonts w:hint="eastAsia" w:ascii="仿宋" w:hAnsi="仿宋" w:eastAsia="仿宋" w:cs="宋体"/>
                <w:color w:val="000000"/>
              </w:rPr>
              <w:t>台、</w:t>
            </w:r>
            <w:r>
              <w:rPr>
                <w:rFonts w:hint="eastAsia" w:ascii="仿宋" w:hAnsi="仿宋" w:eastAsia="仿宋" w:cs="宋体"/>
                <w:color w:val="000000"/>
                <w:lang w:val="en-US" w:eastAsia="zh-CN"/>
              </w:rPr>
              <w:t>南区9</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2</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直流屏</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val="en-US" w:eastAsia="zh-CN"/>
              </w:rPr>
            </w:pPr>
            <w:r>
              <w:rPr>
                <w:rFonts w:hint="eastAsia" w:ascii="仿宋" w:hAnsi="仿宋" w:eastAsia="仿宋" w:cs="宋体"/>
                <w:color w:val="000000"/>
                <w:lang w:val="en-US" w:eastAsia="zh-CN"/>
              </w:rPr>
              <w:t>套</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1</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lang w:val="en-US" w:eastAsia="zh-CN"/>
              </w:rPr>
            </w:pPr>
            <w:r>
              <w:rPr>
                <w:rFonts w:hint="eastAsia" w:ascii="仿宋" w:hAnsi="仿宋" w:eastAsia="仿宋" w:cs="宋体"/>
                <w:color w:val="000000"/>
                <w:lang w:val="en-US" w:eastAsia="zh-CN"/>
              </w:rPr>
              <w:t>北区1套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3</w:t>
            </w:r>
          </w:p>
        </w:tc>
        <w:tc>
          <w:tcPr>
            <w:tcW w:w="1457"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变压器</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8</w:t>
            </w:r>
            <w:r>
              <w:rPr>
                <w:rFonts w:ascii="仿宋" w:hAnsi="仿宋" w:eastAsia="仿宋" w:cs="宋体"/>
                <w:color w:val="000000"/>
              </w:rPr>
              <w:t>00KVA</w:t>
            </w:r>
          </w:p>
        </w:tc>
        <w:tc>
          <w:tcPr>
            <w:tcW w:w="783" w:type="dxa"/>
            <w:vMerge w:val="restart"/>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3</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北区3</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45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000KVA</w:t>
            </w:r>
          </w:p>
        </w:tc>
        <w:tc>
          <w:tcPr>
            <w:tcW w:w="783"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2</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南区</w:t>
            </w:r>
            <w:r>
              <w:rPr>
                <w:rFonts w:hint="eastAsia" w:ascii="仿宋" w:hAnsi="仿宋" w:eastAsia="仿宋" w:cs="宋体"/>
                <w:color w:val="000000"/>
              </w:rPr>
              <w:t>2台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457"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1</w:t>
            </w:r>
            <w:r>
              <w:rPr>
                <w:rFonts w:ascii="仿宋" w:hAnsi="仿宋" w:eastAsia="仿宋" w:cs="宋体"/>
                <w:color w:val="000000"/>
              </w:rPr>
              <w:t>250KVA</w:t>
            </w:r>
          </w:p>
        </w:tc>
        <w:tc>
          <w:tcPr>
            <w:tcW w:w="783" w:type="dxa"/>
            <w:vMerge w:val="continue"/>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2</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lang w:val="en-US" w:eastAsia="zh-CN"/>
              </w:rPr>
              <w:t>南北区各1</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4</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rPr>
              <w:t>电力电缆</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ascii="仿宋" w:hAnsi="仿宋" w:eastAsia="仿宋" w:cs="宋体"/>
                <w:color w:val="000000"/>
              </w:rPr>
              <w:t>10KV</w:t>
            </w: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rPr>
              <w:t>根</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11</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 xml:space="preserve"> </w:t>
            </w:r>
            <w:r>
              <w:rPr>
                <w:rFonts w:hint="eastAsia" w:ascii="仿宋" w:hAnsi="仿宋" w:eastAsia="仿宋" w:cs="宋体"/>
                <w:color w:val="000000"/>
              </w:rPr>
              <w:t>北</w:t>
            </w:r>
            <w:r>
              <w:rPr>
                <w:rFonts w:hint="eastAsia" w:ascii="仿宋" w:hAnsi="仿宋" w:eastAsia="仿宋" w:cs="宋体"/>
                <w:color w:val="000000"/>
                <w:lang w:val="en-US" w:eastAsia="zh-CN"/>
              </w:rPr>
              <w:t>区6</w:t>
            </w:r>
            <w:r>
              <w:rPr>
                <w:rFonts w:hint="eastAsia" w:ascii="仿宋" w:hAnsi="仿宋" w:eastAsia="仿宋" w:cs="宋体"/>
                <w:color w:val="000000"/>
              </w:rPr>
              <w:t>根、</w:t>
            </w:r>
            <w:r>
              <w:rPr>
                <w:rFonts w:hint="eastAsia" w:ascii="仿宋" w:hAnsi="仿宋" w:eastAsia="仿宋" w:cs="宋体"/>
                <w:color w:val="000000"/>
                <w:lang w:val="en-US" w:eastAsia="zh-CN"/>
              </w:rPr>
              <w:t>南区5</w:t>
            </w:r>
            <w:r>
              <w:rPr>
                <w:rFonts w:hint="eastAsia" w:ascii="仿宋" w:hAnsi="仿宋" w:eastAsia="仿宋" w:cs="宋体"/>
                <w:color w:val="000000"/>
              </w:rPr>
              <w:t>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5</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rPr>
              <w:t>低压柜（含电容柜）</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rPr>
              <w:t>台</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34</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北区22</w:t>
            </w:r>
            <w:r>
              <w:rPr>
                <w:rFonts w:hint="eastAsia" w:ascii="仿宋" w:hAnsi="仿宋" w:eastAsia="仿宋" w:cs="宋体"/>
                <w:color w:val="000000"/>
              </w:rPr>
              <w:t>台、</w:t>
            </w:r>
            <w:r>
              <w:rPr>
                <w:rFonts w:hint="eastAsia" w:ascii="仿宋" w:hAnsi="仿宋" w:eastAsia="仿宋" w:cs="宋体"/>
                <w:color w:val="000000"/>
                <w:lang w:val="en-US" w:eastAsia="zh-CN"/>
              </w:rPr>
              <w:t>南区12</w:t>
            </w:r>
            <w:r>
              <w:rPr>
                <w:rFonts w:hint="eastAsia" w:ascii="仿宋" w:hAnsi="仿宋" w:eastAsia="仿宋" w:cs="宋体"/>
                <w:color w:val="000000"/>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6</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sz w:val="22"/>
                <w:szCs w:val="22"/>
                <w:lang w:val="en-US" w:eastAsia="zh-CN" w:bidi="ar-SA"/>
              </w:rPr>
            </w:pPr>
            <w:r>
              <w:rPr>
                <w:rFonts w:hint="eastAsia" w:ascii="仿宋" w:hAnsi="仿宋" w:eastAsia="仿宋" w:cs="宋体"/>
                <w:color w:val="000000"/>
                <w:lang w:eastAsia="zh-CN"/>
              </w:rPr>
              <w:t xml:space="preserve"> </w:t>
            </w:r>
            <w:r>
              <w:rPr>
                <w:rFonts w:hint="eastAsia" w:ascii="仿宋" w:hAnsi="仿宋" w:eastAsia="仿宋" w:cs="宋体"/>
                <w:color w:val="000000"/>
                <w:lang w:val="en-US" w:eastAsia="zh-CN"/>
              </w:rPr>
              <w:t>箱式变压器</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套</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3</w:t>
            </w: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default" w:ascii="仿宋" w:hAnsi="仿宋" w:eastAsia="仿宋" w:cs="宋体"/>
                <w:color w:val="000000"/>
                <w:sz w:val="22"/>
                <w:szCs w:val="22"/>
                <w:lang w:val="en-US" w:eastAsia="zh-CN" w:bidi="ar-SA"/>
              </w:rPr>
            </w:pPr>
            <w:r>
              <w:rPr>
                <w:rFonts w:hint="eastAsia" w:ascii="仿宋" w:hAnsi="仿宋" w:eastAsia="仿宋" w:cs="宋体"/>
                <w:color w:val="000000"/>
                <w:lang w:val="en-US" w:eastAsia="zh-CN"/>
              </w:rPr>
              <w:t>北区2台、南区1台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8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hint="eastAsia" w:ascii="仿宋" w:hAnsi="仿宋" w:eastAsia="仿宋" w:cs="宋体"/>
                <w:color w:val="000000"/>
                <w:lang w:eastAsia="zh-CN"/>
              </w:rPr>
            </w:pPr>
            <w:r>
              <w:rPr>
                <w:rFonts w:hint="eastAsia" w:ascii="仿宋" w:hAnsi="仿宋" w:eastAsia="仿宋" w:cs="宋体"/>
                <w:color w:val="000000"/>
                <w:lang w:val="en-US" w:eastAsia="zh-CN"/>
              </w:rPr>
              <w:t>7</w:t>
            </w:r>
          </w:p>
        </w:tc>
        <w:tc>
          <w:tcPr>
            <w:tcW w:w="145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税金</w:t>
            </w:r>
          </w:p>
        </w:tc>
        <w:tc>
          <w:tcPr>
            <w:tcW w:w="1167"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78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w:t>
            </w:r>
          </w:p>
        </w:tc>
        <w:tc>
          <w:tcPr>
            <w:tcW w:w="833"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85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1034"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5027" w:type="dxa"/>
            <w:gridSpan w:val="5"/>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r>
              <w:rPr>
                <w:rFonts w:hint="eastAsia" w:ascii="仿宋" w:hAnsi="仿宋" w:eastAsia="仿宋" w:cs="宋体"/>
                <w:color w:val="000000"/>
              </w:rPr>
              <w:t>合计</w:t>
            </w:r>
          </w:p>
        </w:tc>
        <w:tc>
          <w:tcPr>
            <w:tcW w:w="1884" w:type="dxa"/>
            <w:gridSpan w:val="2"/>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c>
          <w:tcPr>
            <w:tcW w:w="2400" w:type="dxa"/>
            <w:noWrap/>
            <w:vAlign w:val="center"/>
          </w:tcPr>
          <w:p>
            <w:pPr>
              <w:tabs>
                <w:tab w:val="left" w:pos="8762"/>
                <w:tab w:val="left" w:pos="9450"/>
                <w:tab w:val="left" w:pos="10138"/>
                <w:tab w:val="left" w:pos="10993"/>
                <w:tab w:val="left" w:pos="11702"/>
                <w:tab w:val="left" w:pos="12411"/>
                <w:tab w:val="left" w:pos="13261"/>
                <w:tab w:val="left" w:pos="14112"/>
              </w:tabs>
              <w:spacing w:after="0" w:line="240" w:lineRule="auto"/>
              <w:jc w:val="center"/>
              <w:rPr>
                <w:rFonts w:ascii="仿宋" w:hAnsi="仿宋" w:eastAsia="仿宋" w:cs="宋体"/>
                <w:color w:val="000000"/>
              </w:rPr>
            </w:pPr>
          </w:p>
        </w:tc>
      </w:tr>
    </w:tbl>
    <w:p>
      <w:pPr>
        <w:spacing w:line="380" w:lineRule="exact"/>
        <w:ind w:left="147" w:leftChars="67"/>
        <w:rPr>
          <w:rFonts w:hint="eastAsia" w:ascii="仿宋" w:hAnsi="仿宋" w:eastAsia="仿宋"/>
          <w:sz w:val="24"/>
          <w:szCs w:val="24"/>
        </w:rPr>
      </w:pPr>
    </w:p>
    <w:p>
      <w:pPr>
        <w:spacing w:line="380" w:lineRule="exact"/>
        <w:ind w:left="147" w:leftChars="67"/>
        <w:rPr>
          <w:rFonts w:ascii="仿宋" w:hAnsi="仿宋" w:eastAsia="仿宋"/>
          <w:sz w:val="24"/>
          <w:szCs w:val="24"/>
        </w:rPr>
      </w:pPr>
    </w:p>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3.以上报价含税、含检修等交付校方前所有费用。</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10" w:type="first"/>
          <w:headerReference r:id="rId9" w:type="default"/>
          <w:footerReference r:id="rId11" w:type="default"/>
          <w:type w:val="continuous"/>
          <w:pgSz w:w="11906" w:h="16838"/>
          <w:pgMar w:top="1440" w:right="1417" w:bottom="1440" w:left="1134" w:header="851" w:footer="227" w:gutter="0"/>
          <w:cols w:space="0" w:num="1"/>
          <w:titlePg/>
          <w:rtlGutter w:val="0"/>
          <w:docGrid w:type="lines" w:linePitch="32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67059035"/>
      <w:bookmarkStart w:id="114" w:name="_Toc258401265"/>
      <w:bookmarkStart w:id="115" w:name="_Toc192663691"/>
      <w:bookmarkStart w:id="116" w:name="_Toc213756001"/>
      <w:bookmarkStart w:id="117" w:name="_Toc267060326"/>
      <w:bookmarkStart w:id="118" w:name="_Toc235438352"/>
      <w:bookmarkStart w:id="119" w:name="_Toc255975016"/>
      <w:bookmarkStart w:id="120" w:name="_Toc267059811"/>
      <w:bookmarkStart w:id="121" w:name="_Toc267059186"/>
      <w:bookmarkStart w:id="122" w:name="_Toc192996343"/>
      <w:bookmarkStart w:id="123" w:name="_Toc259520874"/>
      <w:bookmarkStart w:id="124" w:name="_Toc182805222"/>
      <w:bookmarkStart w:id="125" w:name="_Toc213208771"/>
      <w:bookmarkStart w:id="126" w:name="_Toc230071153"/>
      <w:bookmarkStart w:id="127" w:name="_Toc160880165"/>
      <w:bookmarkStart w:id="128" w:name="_Toc227058536"/>
      <w:bookmarkStart w:id="129" w:name="_Toc193160453"/>
      <w:bookmarkStart w:id="130" w:name="_Toc169332843"/>
      <w:bookmarkStart w:id="131" w:name="_Toc191803631"/>
      <w:bookmarkStart w:id="132" w:name="_Toc213755864"/>
      <w:bookmarkStart w:id="133" w:name="_Toc225669328"/>
      <w:bookmarkStart w:id="134" w:name="_Toc192663840"/>
      <w:bookmarkStart w:id="135" w:name="_Toc259692749"/>
      <w:bookmarkStart w:id="136" w:name="_Toc180302918"/>
      <w:bookmarkStart w:id="137" w:name="_Toc266870839"/>
      <w:bookmarkStart w:id="138" w:name="_Toc181436466"/>
      <w:bookmarkStart w:id="139" w:name="_Toc192996451"/>
      <w:bookmarkStart w:id="140" w:name="_Toc192664158"/>
      <w:bookmarkStart w:id="141" w:name="_Toc181436570"/>
      <w:bookmarkStart w:id="142" w:name="_Toc267059924"/>
      <w:bookmarkStart w:id="143" w:name="_Toc251613839"/>
      <w:bookmarkStart w:id="144" w:name="_Toc254790909"/>
      <w:bookmarkStart w:id="145" w:name="_Toc223146614"/>
      <w:bookmarkStart w:id="146" w:name="_Toc182372787"/>
      <w:bookmarkStart w:id="147" w:name="_Toc266870441"/>
      <w:bookmarkStart w:id="148" w:name="_Toc191783227"/>
      <w:bookmarkStart w:id="149" w:name="_Toc267059544"/>
      <w:bookmarkStart w:id="150" w:name="_Toc251586241"/>
      <w:bookmarkStart w:id="151" w:name="_Toc235438281"/>
      <w:bookmarkStart w:id="152" w:name="_Toc235437998"/>
      <w:bookmarkStart w:id="153" w:name="_Toc170798798"/>
      <w:bookmarkStart w:id="154" w:name="_Toc232302122"/>
      <w:bookmarkStart w:id="155" w:name="_Toc266868679"/>
      <w:bookmarkStart w:id="156" w:name="_Toc253066624"/>
      <w:bookmarkStart w:id="157" w:name="_Toc211917121"/>
      <w:bookmarkStart w:id="158" w:name="_Toc191789334"/>
      <w:bookmarkStart w:id="159" w:name="_Toc169332954"/>
      <w:bookmarkStart w:id="160" w:name="_Toc191802695"/>
      <w:bookmarkStart w:id="161" w:name="_Toc267059658"/>
      <w:bookmarkStart w:id="162" w:name="_Toc266868943"/>
      <w:bookmarkStart w:id="163" w:name="_Toc249325720"/>
      <w:bookmarkStart w:id="164" w:name="_Toc203355738"/>
      <w:bookmarkStart w:id="165" w:name="_Toc177985474"/>
      <w:bookmarkStart w:id="166" w:name="_Toc160880534"/>
      <w:bookmarkStart w:id="167" w:name="_Toc266870916"/>
      <w:bookmarkStart w:id="168" w:name="_Toc236021457"/>
      <w:bookmarkStart w:id="169" w:name="_Toc273178703"/>
      <w:bookmarkStart w:id="170" w:name="_Toc267060076"/>
      <w:bookmarkStart w:id="171" w:name="_Toc193165739"/>
      <w:bookmarkStart w:id="172" w:name="_Toc213755945"/>
      <w:bookmarkStart w:id="173" w:name="_Toc267060461"/>
      <w:bookmarkStart w:id="174" w:name="_Toc267060216"/>
      <w:bookmarkStart w:id="175" w:name="_Toc259692656"/>
      <w:bookmarkStart w:id="176" w:name="_Toc219800249"/>
      <w:bookmarkStart w:id="177" w:name="_Toc213756057"/>
      <w:bookmarkStart w:id="178" w:name="_Toc217891408"/>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35438353"/>
      <w:bookmarkStart w:id="180" w:name="_Toc249325721"/>
      <w:bookmarkStart w:id="181" w:name="_Toc213756058"/>
      <w:bookmarkStart w:id="182" w:name="_Toc223146615"/>
      <w:bookmarkStart w:id="183" w:name="_Toc259520875"/>
      <w:bookmarkStart w:id="184" w:name="_Toc251586242"/>
      <w:bookmarkStart w:id="185" w:name="_Toc255975017"/>
      <w:bookmarkStart w:id="186" w:name="_Toc266870917"/>
      <w:bookmarkStart w:id="187" w:name="_Toc254790910"/>
      <w:bookmarkStart w:id="188" w:name="_Toc230071154"/>
      <w:bookmarkStart w:id="189" w:name="_Toc259692657"/>
      <w:bookmarkStart w:id="190" w:name="_Toc267060077"/>
      <w:bookmarkStart w:id="191" w:name="_Toc251613840"/>
      <w:bookmarkStart w:id="192" w:name="_Toc253066625"/>
      <w:bookmarkStart w:id="193" w:name="_Toc235437999"/>
      <w:bookmarkStart w:id="194" w:name="_Toc258401266"/>
      <w:bookmarkStart w:id="195" w:name="_Toc235438282"/>
      <w:bookmarkStart w:id="196" w:name="_Toc236021458"/>
      <w:bookmarkStart w:id="197" w:name="_Toc219800250"/>
      <w:bookmarkStart w:id="198" w:name="_Toc266868680"/>
      <w:bookmarkStart w:id="199" w:name="_Toc227058537"/>
      <w:bookmarkStart w:id="200" w:name="_Toc232302123"/>
      <w:bookmarkStart w:id="201" w:name="_Toc259692750"/>
      <w:bookmarkStart w:id="202" w:name="_Toc267060217"/>
      <w:bookmarkStart w:id="203" w:name="_Toc217891409"/>
      <w:bookmarkStart w:id="204" w:name="_Toc266870442"/>
      <w:bookmarkStart w:id="205" w:name="_Toc267060462"/>
      <w:bookmarkStart w:id="206" w:name="_Toc225669329"/>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eastAsia="zh-CN"/>
        </w:rPr>
        <w:t>服务</w:t>
      </w:r>
      <w:r>
        <w:rPr>
          <w:rFonts w:hint="eastAsia" w:ascii="仿宋" w:hAnsi="仿宋" w:eastAsia="仿宋" w:cs="仿宋"/>
          <w:color w:val="auto"/>
          <w:sz w:val="24"/>
          <w:szCs w:val="24"/>
        </w:rPr>
        <w:t>，并证明提交的下列文件和说明是准确的和真实的。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19800251"/>
      <w:bookmarkStart w:id="209" w:name="_Toc249325722"/>
      <w:bookmarkStart w:id="210" w:name="_Toc236021459"/>
      <w:bookmarkStart w:id="211" w:name="_Toc255975018"/>
      <w:bookmarkStart w:id="212" w:name="_Toc254790911"/>
      <w:bookmarkStart w:id="213" w:name="_Toc217891410"/>
      <w:bookmarkStart w:id="214" w:name="_Toc266870443"/>
      <w:bookmarkStart w:id="215" w:name="_Toc259520876"/>
      <w:bookmarkStart w:id="216" w:name="_Toc235438000"/>
      <w:bookmarkStart w:id="217" w:name="_Toc230071155"/>
      <w:bookmarkStart w:id="218" w:name="_Toc223146616"/>
      <w:bookmarkStart w:id="219" w:name="_Toc259692658"/>
      <w:bookmarkStart w:id="220" w:name="_Toc227058538"/>
      <w:bookmarkStart w:id="221" w:name="_Toc232302124"/>
      <w:bookmarkStart w:id="222" w:name="_Toc225669330"/>
      <w:bookmarkStart w:id="223" w:name="_Toc213756059"/>
      <w:bookmarkStart w:id="224" w:name="_Toc266870918"/>
      <w:bookmarkStart w:id="225" w:name="_Toc235438283"/>
      <w:bookmarkStart w:id="226" w:name="_Toc259692751"/>
      <w:bookmarkStart w:id="227" w:name="_Toc235438354"/>
      <w:bookmarkStart w:id="228" w:name="_Toc253066626"/>
      <w:bookmarkStart w:id="229" w:name="_Toc251586243"/>
      <w:bookmarkStart w:id="230" w:name="_Toc266868681"/>
      <w:bookmarkStart w:id="231" w:name="_Toc251613841"/>
      <w:bookmarkStart w:id="232" w:name="_Toc258401267"/>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51586246"/>
      <w:bookmarkStart w:id="234" w:name="_Toc181436469"/>
      <w:bookmarkStart w:id="235" w:name="_Toc255975021"/>
      <w:bookmarkStart w:id="236" w:name="_Toc259692756"/>
      <w:bookmarkStart w:id="237" w:name="_Toc267060081"/>
      <w:bookmarkStart w:id="238" w:name="_Toc266870921"/>
      <w:bookmarkStart w:id="239" w:name="_Toc235438357"/>
      <w:bookmarkStart w:id="240" w:name="_Toc191803634"/>
      <w:bookmarkStart w:id="241" w:name="_Toc192996454"/>
      <w:bookmarkStart w:id="242" w:name="_Toc180302921"/>
      <w:bookmarkStart w:id="243" w:name="_Toc267060080"/>
      <w:bookmarkStart w:id="244" w:name="_Toc254790914"/>
      <w:bookmarkStart w:id="245" w:name="_Toc266870446"/>
      <w:bookmarkStart w:id="246" w:name="_Toc193160456"/>
      <w:bookmarkStart w:id="247" w:name="_Toc253066629"/>
      <w:bookmarkStart w:id="248" w:name="_Toc160880168"/>
      <w:bookmarkStart w:id="249" w:name="_Toc182372790"/>
      <w:bookmarkStart w:id="250" w:name="_Toc266870447"/>
      <w:bookmarkStart w:id="251" w:name="_Toc192663694"/>
      <w:bookmarkStart w:id="252" w:name="_Toc181436573"/>
      <w:bookmarkStart w:id="253" w:name="_Toc191789337"/>
      <w:bookmarkStart w:id="254" w:name="_Toc267060220"/>
      <w:bookmarkStart w:id="255" w:name="_Toc255975023"/>
      <w:bookmarkStart w:id="256" w:name="_Toc267060465"/>
      <w:bookmarkStart w:id="257" w:name="_Toc259520879"/>
      <w:bookmarkStart w:id="258" w:name="_Toc259692661"/>
      <w:bookmarkStart w:id="259" w:name="_Toc251613844"/>
      <w:bookmarkStart w:id="260" w:name="_Toc259692663"/>
      <w:bookmarkStart w:id="261" w:name="_Toc258401270"/>
      <w:bookmarkStart w:id="262" w:name="_Toc170798801"/>
      <w:bookmarkStart w:id="263" w:name="_Toc266868684"/>
      <w:bookmarkStart w:id="264" w:name="_Toc192664161"/>
      <w:bookmarkStart w:id="265" w:name="_Toc192996346"/>
      <w:bookmarkStart w:id="266" w:name="_Toc258401272"/>
      <w:bookmarkStart w:id="267" w:name="_Toc249325725"/>
      <w:bookmarkStart w:id="268" w:name="_Toc259520881"/>
      <w:bookmarkStart w:id="269" w:name="_Toc211917124"/>
      <w:bookmarkStart w:id="270" w:name="_Toc192663843"/>
      <w:bookmarkStart w:id="271" w:name="_Toc266868686"/>
      <w:bookmarkStart w:id="272" w:name="_Toc160880537"/>
      <w:bookmarkStart w:id="273" w:name="_Toc259692754"/>
      <w:bookmarkStart w:id="274" w:name="_Toc235438286"/>
      <w:bookmarkStart w:id="275" w:name="_Toc177985477"/>
      <w:bookmarkStart w:id="276" w:name="_Toc182805225"/>
      <w:bookmarkStart w:id="277" w:name="_Toc232302127"/>
      <w:bookmarkStart w:id="278" w:name="_Toc169332957"/>
      <w:bookmarkStart w:id="279" w:name="_Toc191783230"/>
      <w:bookmarkStart w:id="280" w:name="_Toc266870922"/>
      <w:bookmarkStart w:id="281" w:name="_Toc169332846"/>
      <w:bookmarkStart w:id="282" w:name="_Toc236021462"/>
      <w:bookmarkStart w:id="283" w:name="_Toc267060221"/>
      <w:bookmarkStart w:id="284" w:name="_Toc267060466"/>
      <w:bookmarkStart w:id="285" w:name="_Toc235438003"/>
      <w:bookmarkStart w:id="286" w:name="_Toc191802698"/>
      <w:bookmarkStart w:id="287" w:name="_Toc193165742"/>
      <w:bookmarkStart w:id="288" w:name="_Toc203355741"/>
      <w:bookmarkStart w:id="289" w:name="_Toc254790916"/>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lang w:val="en-US" w:eastAsia="zh-CN"/>
        </w:rPr>
      </w:pPr>
      <w:bookmarkStart w:id="290" w:name="_Toc267059187"/>
      <w:bookmarkStart w:id="291" w:name="_Toc266870923"/>
      <w:bookmarkStart w:id="292" w:name="_Toc236021463"/>
      <w:bookmarkStart w:id="293" w:name="_Toc266870448"/>
      <w:bookmarkStart w:id="294" w:name="_Toc258401273"/>
      <w:bookmarkStart w:id="295" w:name="_Toc235438287"/>
      <w:bookmarkStart w:id="296" w:name="_Toc232302128"/>
      <w:bookmarkStart w:id="297" w:name="_Toc267059545"/>
      <w:bookmarkStart w:id="298" w:name="_Toc255975024"/>
      <w:bookmarkStart w:id="299" w:name="_Toc267059812"/>
      <w:bookmarkStart w:id="300" w:name="_Toc251586247"/>
      <w:bookmarkStart w:id="301" w:name="_Toc253066630"/>
      <w:bookmarkStart w:id="302" w:name="_Toc254790917"/>
      <w:bookmarkStart w:id="303" w:name="_Toc259692664"/>
      <w:bookmarkStart w:id="304" w:name="_Toc259520882"/>
      <w:bookmarkStart w:id="305" w:name="_Toc251613845"/>
      <w:bookmarkStart w:id="306" w:name="_Toc267060082"/>
      <w:bookmarkStart w:id="307" w:name="_Toc267060222"/>
      <w:bookmarkStart w:id="308" w:name="_Toc267059925"/>
      <w:bookmarkStart w:id="309" w:name="_Toc273178704"/>
      <w:bookmarkStart w:id="310" w:name="_Toc235438358"/>
      <w:bookmarkStart w:id="311" w:name="_Toc267060467"/>
      <w:bookmarkStart w:id="312" w:name="_Toc266870840"/>
      <w:bookmarkStart w:id="313" w:name="_Toc267060327"/>
      <w:bookmarkStart w:id="314" w:name="_Toc267059036"/>
      <w:bookmarkStart w:id="315" w:name="_Toc235438004"/>
      <w:bookmarkStart w:id="316" w:name="_Toc266868687"/>
      <w:bookmarkStart w:id="317" w:name="_Toc267059659"/>
      <w:bookmarkStart w:id="318" w:name="_Toc249325726"/>
      <w:bookmarkStart w:id="319" w:name="_Toc266868944"/>
      <w:bookmarkStart w:id="320" w:name="_Toc259692757"/>
      <w:r>
        <w:rPr>
          <w:rFonts w:hint="eastAsia" w:ascii="仿宋" w:hAnsi="仿宋" w:eastAsia="仿宋" w:cs="仿宋"/>
          <w:b/>
          <w:bCs/>
          <w:color w:val="auto"/>
          <w:sz w:val="24"/>
          <w:szCs w:val="24"/>
          <w:lang w:val="en-US" w:eastAsia="zh-CN"/>
        </w:rPr>
        <w:t>3-4相关资质证书（复印件）</w:t>
      </w: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both"/>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jc w:val="both"/>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文件中对服务的要求，结合自身实际情况进行承诺（含</w:t>
      </w:r>
      <w:r>
        <w:rPr>
          <w:rFonts w:hint="eastAsia" w:ascii="仿宋" w:hAnsi="仿宋" w:eastAsia="仿宋" w:cs="仿宋"/>
          <w:color w:val="auto"/>
          <w:sz w:val="24"/>
          <w:szCs w:val="24"/>
          <w:lang w:eastAsia="zh-CN"/>
        </w:rPr>
        <w:t>响应时间、紧急情况应急处理、对接联系人、等</w:t>
      </w:r>
      <w:r>
        <w:rPr>
          <w:rFonts w:hint="eastAsia" w:ascii="仿宋" w:hAnsi="仿宋" w:eastAsia="仿宋" w:cs="仿宋"/>
          <w:color w:val="auto"/>
          <w:sz w:val="24"/>
          <w:szCs w:val="24"/>
        </w:rPr>
        <w:t>保障体系等）。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
      <w:pPr>
        <w:numPr>
          <w:ilvl w:val="0"/>
          <w:numId w:val="6"/>
        </w:numPr>
        <w:spacing w:after="0" w:line="480" w:lineRule="exact"/>
        <w:jc w:val="center"/>
        <w:rPr>
          <w:rFonts w:hint="eastAsia" w:ascii="仿宋" w:hAnsi="仿宋" w:eastAsia="仿宋"/>
          <w:b/>
          <w:bCs/>
          <w:color w:val="auto"/>
          <w:sz w:val="24"/>
          <w:szCs w:val="24"/>
          <w:lang w:val="en-US" w:eastAsia="zh-CN"/>
        </w:rPr>
      </w:pPr>
      <w:r>
        <w:rPr>
          <w:rFonts w:hint="eastAsia" w:ascii="仿宋" w:hAnsi="仿宋" w:eastAsia="仿宋"/>
          <w:b/>
          <w:bCs/>
          <w:color w:val="auto"/>
          <w:sz w:val="24"/>
          <w:szCs w:val="24"/>
          <w:lang w:val="en-US" w:eastAsia="zh-CN"/>
        </w:rPr>
        <w:t>资格审查表</w:t>
      </w:r>
    </w:p>
    <w:p>
      <w:pPr>
        <w:numPr>
          <w:ilvl w:val="0"/>
          <w:numId w:val="0"/>
        </w:numPr>
        <w:spacing w:after="0" w:line="480" w:lineRule="exact"/>
        <w:jc w:val="both"/>
        <w:rPr>
          <w:rFonts w:hint="eastAsia" w:ascii="仿宋" w:hAnsi="仿宋" w:eastAsia="仿宋"/>
          <w:b/>
          <w:bCs/>
          <w:color w:val="auto"/>
          <w:sz w:val="24"/>
          <w:szCs w:val="24"/>
          <w:lang w:val="en-US" w:eastAsia="zh-CN"/>
        </w:rPr>
      </w:pPr>
    </w:p>
    <w:tbl>
      <w:tblPr>
        <w:tblStyle w:val="7"/>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p/>
    <w:sectPr>
      <w:pgSz w:w="11906" w:h="16838"/>
      <w:pgMar w:top="1440" w:right="1417" w:bottom="1440" w:left="1134" w:header="851" w:footer="227" w:gutter="0"/>
      <w:cols w:space="0" w:num="1"/>
      <w:titlePg/>
      <w:rtlGutter w:val="0"/>
      <w:docGrid w:type="lines" w:linePitch="32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4"/>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4"/>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BBFCB6"/>
    <w:multiLevelType w:val="singleLevel"/>
    <w:tmpl w:val="A2BBFCB6"/>
    <w:lvl w:ilvl="0" w:tentative="0">
      <w:start w:val="5"/>
      <w:numFmt w:val="decimal"/>
      <w:suff w:val="nothing"/>
      <w:lvlText w:val="%1、"/>
      <w:lvlJc w:val="left"/>
    </w:lvl>
  </w:abstractNum>
  <w:abstractNum w:abstractNumId="1">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2">
    <w:nsid w:val="205060A9"/>
    <w:multiLevelType w:val="multilevel"/>
    <w:tmpl w:val="205060A9"/>
    <w:lvl w:ilvl="0" w:tentative="0">
      <w:start w:val="1"/>
      <w:numFmt w:val="decimal"/>
      <w:lvlText w:val="（%1）"/>
      <w:lvlJc w:val="left"/>
      <w:pPr>
        <w:ind w:left="940" w:hanging="720"/>
      </w:pPr>
      <w:rPr>
        <w:rFonts w:hint="default"/>
      </w:rPr>
    </w:lvl>
    <w:lvl w:ilvl="1" w:tentative="0">
      <w:start w:val="1"/>
      <w:numFmt w:val="lowerLetter"/>
      <w:lvlText w:val="%2)"/>
      <w:lvlJc w:val="left"/>
      <w:pPr>
        <w:ind w:left="1060" w:hanging="420"/>
      </w:pPr>
    </w:lvl>
    <w:lvl w:ilvl="2" w:tentative="0">
      <w:start w:val="1"/>
      <w:numFmt w:val="lowerRoman"/>
      <w:lvlText w:val="%3."/>
      <w:lvlJc w:val="right"/>
      <w:pPr>
        <w:ind w:left="1480" w:hanging="420"/>
      </w:pPr>
    </w:lvl>
    <w:lvl w:ilvl="3" w:tentative="0">
      <w:start w:val="1"/>
      <w:numFmt w:val="decimal"/>
      <w:lvlText w:val="%4."/>
      <w:lvlJc w:val="left"/>
      <w:pPr>
        <w:ind w:left="1900" w:hanging="420"/>
      </w:pPr>
    </w:lvl>
    <w:lvl w:ilvl="4" w:tentative="0">
      <w:start w:val="1"/>
      <w:numFmt w:val="lowerLetter"/>
      <w:lvlText w:val="%5)"/>
      <w:lvlJc w:val="left"/>
      <w:pPr>
        <w:ind w:left="2320" w:hanging="420"/>
      </w:pPr>
    </w:lvl>
    <w:lvl w:ilvl="5" w:tentative="0">
      <w:start w:val="1"/>
      <w:numFmt w:val="lowerRoman"/>
      <w:lvlText w:val="%6."/>
      <w:lvlJc w:val="right"/>
      <w:pPr>
        <w:ind w:left="2740" w:hanging="420"/>
      </w:pPr>
    </w:lvl>
    <w:lvl w:ilvl="6" w:tentative="0">
      <w:start w:val="1"/>
      <w:numFmt w:val="decimal"/>
      <w:lvlText w:val="%7."/>
      <w:lvlJc w:val="left"/>
      <w:pPr>
        <w:ind w:left="3160" w:hanging="420"/>
      </w:pPr>
    </w:lvl>
    <w:lvl w:ilvl="7" w:tentative="0">
      <w:start w:val="1"/>
      <w:numFmt w:val="lowerLetter"/>
      <w:lvlText w:val="%8)"/>
      <w:lvlJc w:val="left"/>
      <w:pPr>
        <w:ind w:left="3580" w:hanging="420"/>
      </w:pPr>
    </w:lvl>
    <w:lvl w:ilvl="8" w:tentative="0">
      <w:start w:val="1"/>
      <w:numFmt w:val="lowerRoman"/>
      <w:lvlText w:val="%9."/>
      <w:lvlJc w:val="right"/>
      <w:pPr>
        <w:ind w:left="4000" w:hanging="420"/>
      </w:pPr>
    </w:lvl>
  </w:abstractNum>
  <w:abstractNum w:abstractNumId="3">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4"/>
  </w:num>
  <w:num w:numId="2">
    <w:abstractNumId w:val="2"/>
  </w:num>
  <w:num w:numId="3">
    <w:abstractNumId w:val="5"/>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61"/>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iMmJjMGUyMDNhMGI0MjllZTc4OTE3ODRjOTBjMWQifQ=="/>
  </w:docVars>
  <w:rsids>
    <w:rsidRoot w:val="00000000"/>
    <w:rsid w:val="02F60887"/>
    <w:rsid w:val="04642403"/>
    <w:rsid w:val="0F815802"/>
    <w:rsid w:val="15F43CF2"/>
    <w:rsid w:val="1C593B5F"/>
    <w:rsid w:val="1F156549"/>
    <w:rsid w:val="229778DD"/>
    <w:rsid w:val="2436015C"/>
    <w:rsid w:val="245C67FB"/>
    <w:rsid w:val="28466647"/>
    <w:rsid w:val="2A640A81"/>
    <w:rsid w:val="2BDF4062"/>
    <w:rsid w:val="2D0F62AF"/>
    <w:rsid w:val="30173289"/>
    <w:rsid w:val="350C4DCC"/>
    <w:rsid w:val="37EC3797"/>
    <w:rsid w:val="3BA8176B"/>
    <w:rsid w:val="3BAF46F7"/>
    <w:rsid w:val="3ED17CE5"/>
    <w:rsid w:val="41A85338"/>
    <w:rsid w:val="46BF791F"/>
    <w:rsid w:val="490308F9"/>
    <w:rsid w:val="49605F11"/>
    <w:rsid w:val="4E8C1756"/>
    <w:rsid w:val="4F895A67"/>
    <w:rsid w:val="4F8A5A63"/>
    <w:rsid w:val="524B1F23"/>
    <w:rsid w:val="55D76CB3"/>
    <w:rsid w:val="56E878F7"/>
    <w:rsid w:val="5BA16BFD"/>
    <w:rsid w:val="62E94FF3"/>
    <w:rsid w:val="64335826"/>
    <w:rsid w:val="66E25737"/>
    <w:rsid w:val="68B05441"/>
    <w:rsid w:val="68B41415"/>
    <w:rsid w:val="6BD4530D"/>
    <w:rsid w:val="71341AC4"/>
    <w:rsid w:val="77984B57"/>
    <w:rsid w:val="791A08FF"/>
    <w:rsid w:val="7C863A97"/>
    <w:rsid w:val="7E4E06A2"/>
    <w:rsid w:val="7E7777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uiPriority w:val="0"/>
    <w:pPr>
      <w:jc w:val="left"/>
    </w:pPr>
  </w:style>
  <w:style w:type="paragraph" w:styleId="3">
    <w:name w:val="Plain Text"/>
    <w:basedOn w:val="1"/>
    <w:unhideWhenUsed/>
    <w:qFormat/>
    <w:uiPriority w:val="0"/>
    <w:rPr>
      <w:rFonts w:hAnsi="Courier New" w:cs="Courier New" w:asciiTheme="minorEastAsia"/>
    </w:r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unhideWhenUsed/>
    <w:qFormat/>
    <w:uiPriority w:val="99"/>
    <w:rPr>
      <w:color w:val="0563C1" w:themeColor="hyperlink"/>
      <w:u w:val="single"/>
      <w14:textFill>
        <w14:solidFill>
          <w14:schemeClr w14:val="hlink"/>
        </w14:solidFill>
      </w14:textFill>
    </w:rPr>
  </w:style>
  <w:style w:type="paragraph" w:customStyle="1" w:styleId="1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12">
    <w:name w:val="List Paragraph"/>
    <w:basedOn w:val="1"/>
    <w:qFormat/>
    <w:uiPriority w:val="34"/>
    <w:pPr>
      <w:ind w:firstLine="420" w:firstLineChars="200"/>
    </w:pPr>
  </w:style>
  <w:style w:type="paragraph" w:customStyle="1" w:styleId="13">
    <w:name w:val="样式3"/>
    <w:basedOn w:val="3"/>
    <w:qFormat/>
    <w:uiPriority w:val="0"/>
    <w:pPr>
      <w:widowControl w:val="0"/>
      <w:spacing w:after="0" w:line="0" w:lineRule="atLeast"/>
      <w:outlineLvl w:val="0"/>
    </w:pPr>
    <w:rPr>
      <w:rFonts w:ascii="宋体" w:eastAsia="宋体" w:cs="Times New Roman"/>
      <w:kern w:val="2"/>
      <w:sz w:val="28"/>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theme" Target="theme/theme1.xml"/><Relationship Id="rId11" Type="http://schemas.openxmlformats.org/officeDocument/2006/relationships/footer" Target="footer1.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6742</Words>
  <Characters>7042</Characters>
  <Lines>0</Lines>
  <Paragraphs>0</Paragraphs>
  <TotalTime>0</TotalTime>
  <ScaleCrop>false</ScaleCrop>
  <LinksUpToDate>false</LinksUpToDate>
  <CharactersWithSpaces>7950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2023-04-04T01:35:00Z</dcterms:created>
  <dc:creator>Administrator</dc:creator>
  <cp:lastModifiedBy>采购管理科</cp:lastModifiedBy>
  <dcterms:modified xsi:type="dcterms:W3CDTF">2023-04-08T02:20:29Z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0A4D55D18D664B3CA701829F5146028E_13</vt:lpwstr>
  </property>
</Properties>
</file>